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cs="ArialUnicodeMS" w:asciiTheme="majorEastAsia" w:hAnsiTheme="majorEastAsia" w:eastAsiaTheme="majorEastAsia"/>
          <w:b/>
          <w:kern w:val="0"/>
          <w:sz w:val="44"/>
          <w:szCs w:val="44"/>
        </w:rPr>
      </w:pPr>
    </w:p>
    <w:p>
      <w:pPr>
        <w:jc w:val="center"/>
        <w:rPr>
          <w:rFonts w:cs="ArialUnicodeMS" w:asciiTheme="majorEastAsia" w:hAnsiTheme="majorEastAsia" w:eastAsiaTheme="majorEastAsia"/>
          <w:b/>
          <w:kern w:val="0"/>
          <w:sz w:val="44"/>
          <w:szCs w:val="44"/>
        </w:rPr>
      </w:pPr>
    </w:p>
    <w:p>
      <w:pPr>
        <w:jc w:val="center"/>
        <w:rPr>
          <w:rFonts w:cs="ArialUnicodeMS" w:asciiTheme="majorEastAsia" w:hAnsiTheme="majorEastAsia" w:eastAsiaTheme="majorEastAsia"/>
          <w:b/>
          <w:kern w:val="0"/>
          <w:sz w:val="44"/>
          <w:szCs w:val="44"/>
        </w:rPr>
      </w:pPr>
    </w:p>
    <w:p>
      <w:pPr>
        <w:jc w:val="center"/>
        <w:rPr>
          <w:rFonts w:cs="ArialUnicodeMS" w:asciiTheme="majorEastAsia" w:hAnsiTheme="majorEastAsia" w:eastAsiaTheme="majorEastAsia"/>
          <w:b/>
          <w:kern w:val="0"/>
          <w:sz w:val="44"/>
          <w:szCs w:val="44"/>
        </w:rPr>
      </w:pPr>
      <w:r>
        <w:rPr>
          <w:rFonts w:hint="eastAsia" w:cs="ArialUnicodeMS" w:asciiTheme="majorEastAsia" w:hAnsiTheme="majorEastAsia" w:eastAsiaTheme="majorEastAsia"/>
          <w:b/>
          <w:kern w:val="0"/>
          <w:sz w:val="44"/>
          <w:szCs w:val="44"/>
        </w:rPr>
        <w:t>广西壮族自治区人力资源和社会保障</w:t>
      </w:r>
    </w:p>
    <w:p>
      <w:pPr>
        <w:jc w:val="center"/>
        <w:rPr>
          <w:rFonts w:cs="ArialUnicodeMS" w:asciiTheme="majorEastAsia" w:hAnsiTheme="majorEastAsia" w:eastAsiaTheme="majorEastAsia"/>
          <w:b/>
          <w:kern w:val="0"/>
          <w:sz w:val="44"/>
          <w:szCs w:val="44"/>
        </w:rPr>
      </w:pPr>
    </w:p>
    <w:p>
      <w:pPr>
        <w:jc w:val="center"/>
        <w:rPr>
          <w:rFonts w:cs="ArialUnicodeMS" w:asciiTheme="majorEastAsia" w:hAnsiTheme="majorEastAsia" w:eastAsiaTheme="majorEastAsia"/>
          <w:b/>
          <w:kern w:val="0"/>
          <w:sz w:val="44"/>
          <w:szCs w:val="44"/>
        </w:rPr>
      </w:pPr>
      <w:r>
        <w:rPr>
          <w:rFonts w:hint="eastAsia" w:cs="ArialUnicodeMS" w:asciiTheme="majorEastAsia" w:hAnsiTheme="majorEastAsia" w:eastAsiaTheme="majorEastAsia"/>
          <w:b/>
          <w:kern w:val="0"/>
          <w:sz w:val="44"/>
          <w:szCs w:val="44"/>
        </w:rPr>
        <w:t>宣传中心</w:t>
      </w:r>
      <w:r>
        <w:rPr>
          <w:rFonts w:hint="eastAsia" w:asciiTheme="majorEastAsia" w:hAnsiTheme="majorEastAsia" w:eastAsiaTheme="majorEastAsia"/>
          <w:b/>
          <w:kern w:val="0"/>
          <w:sz w:val="44"/>
          <w:szCs w:val="44"/>
        </w:rPr>
        <w:t>2020</w:t>
      </w:r>
      <w:r>
        <w:rPr>
          <w:rFonts w:hint="eastAsia" w:cs="ArialUnicodeMS" w:asciiTheme="majorEastAsia" w:hAnsiTheme="majorEastAsia" w:eastAsiaTheme="majorEastAsia"/>
          <w:b/>
          <w:kern w:val="0"/>
          <w:sz w:val="44"/>
          <w:szCs w:val="44"/>
        </w:rPr>
        <w:t>年部门决算公开</w:t>
      </w:r>
    </w:p>
    <w:p>
      <w:pPr>
        <w:pStyle w:val="8"/>
        <w:ind w:left="420" w:firstLine="0" w:firstLineChars="0"/>
        <w:jc w:val="center"/>
        <w:rPr>
          <w:rFonts w:cs="ArialUnicodeMS" w:asciiTheme="majorEastAsia" w:hAnsiTheme="majorEastAsia" w:eastAsiaTheme="majorEastAsia"/>
          <w:b/>
          <w:kern w:val="0"/>
          <w:sz w:val="44"/>
          <w:szCs w:val="44"/>
        </w:rPr>
      </w:pPr>
    </w:p>
    <w:p>
      <w:pPr>
        <w:jc w:val="left"/>
        <w:rPr>
          <w:rFonts w:ascii="仿宋_GB2312" w:eastAsia="仿宋_GB2312"/>
          <w:sz w:val="44"/>
          <w:szCs w:val="44"/>
        </w:rPr>
      </w:pPr>
    </w:p>
    <w:p>
      <w:pPr>
        <w:rPr>
          <w:rFonts w:ascii="仿宋_GB2312" w:eastAsia="仿宋_GB2312"/>
          <w:sz w:val="44"/>
          <w:szCs w:val="44"/>
        </w:rPr>
      </w:pPr>
    </w:p>
    <w:p>
      <w:pPr>
        <w:rPr>
          <w:rFonts w:ascii="仿宋_GB2312" w:eastAsia="仿宋_GB2312"/>
          <w:sz w:val="44"/>
          <w:szCs w:val="44"/>
        </w:rPr>
      </w:pPr>
    </w:p>
    <w:p>
      <w:pPr>
        <w:rPr>
          <w:rFonts w:ascii="仿宋_GB2312" w:eastAsia="仿宋_GB2312"/>
          <w:sz w:val="44"/>
          <w:szCs w:val="44"/>
        </w:rPr>
      </w:pPr>
    </w:p>
    <w:p>
      <w:pPr>
        <w:rPr>
          <w:rFonts w:ascii="仿宋_GB2312" w:eastAsia="仿宋_GB2312"/>
          <w:sz w:val="44"/>
          <w:szCs w:val="44"/>
        </w:rPr>
      </w:pPr>
    </w:p>
    <w:p>
      <w:pPr>
        <w:rPr>
          <w:rFonts w:ascii="仿宋_GB2312" w:eastAsia="仿宋_GB2312"/>
          <w:sz w:val="44"/>
          <w:szCs w:val="44"/>
        </w:rPr>
      </w:pPr>
    </w:p>
    <w:p>
      <w:pPr>
        <w:rPr>
          <w:rFonts w:ascii="仿宋_GB2312" w:eastAsia="仿宋_GB2312"/>
          <w:sz w:val="44"/>
          <w:szCs w:val="44"/>
        </w:rPr>
      </w:pPr>
    </w:p>
    <w:p>
      <w:pPr>
        <w:rPr>
          <w:rFonts w:ascii="仿宋_GB2312" w:eastAsia="仿宋_GB2312"/>
          <w:sz w:val="44"/>
          <w:szCs w:val="44"/>
        </w:rPr>
      </w:pPr>
    </w:p>
    <w:p>
      <w:pPr>
        <w:ind w:firstLine="646"/>
        <w:jc w:val="center"/>
        <w:rPr>
          <w:rFonts w:asciiTheme="minorEastAsia" w:hAnsiTheme="minorEastAsia" w:eastAsiaTheme="minorEastAsia"/>
          <w:b/>
          <w:sz w:val="32"/>
          <w:szCs w:val="32"/>
        </w:rPr>
      </w:pPr>
    </w:p>
    <w:p>
      <w:pPr>
        <w:ind w:firstLine="646"/>
        <w:jc w:val="center"/>
        <w:rPr>
          <w:rFonts w:asciiTheme="minorEastAsia" w:hAnsiTheme="minorEastAsia" w:eastAsiaTheme="minorEastAsia"/>
          <w:b/>
          <w:sz w:val="32"/>
          <w:szCs w:val="32"/>
        </w:rPr>
      </w:pPr>
    </w:p>
    <w:p>
      <w:pPr>
        <w:ind w:firstLine="646"/>
        <w:jc w:val="center"/>
        <w:rPr>
          <w:rFonts w:asciiTheme="minorEastAsia" w:hAnsiTheme="minorEastAsia" w:eastAsiaTheme="minorEastAsia"/>
          <w:b/>
          <w:sz w:val="32"/>
          <w:szCs w:val="32"/>
        </w:rPr>
      </w:pPr>
    </w:p>
    <w:p>
      <w:pPr>
        <w:ind w:firstLine="646"/>
        <w:jc w:val="center"/>
        <w:rPr>
          <w:rFonts w:asciiTheme="minorEastAsia" w:hAnsiTheme="minorEastAsia" w:eastAsiaTheme="minorEastAsia"/>
          <w:b/>
          <w:sz w:val="32"/>
          <w:szCs w:val="32"/>
        </w:rPr>
      </w:pPr>
    </w:p>
    <w:p>
      <w:pPr>
        <w:ind w:firstLine="646"/>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目    录</w:t>
      </w:r>
    </w:p>
    <w:p>
      <w:pPr>
        <w:ind w:firstLine="646"/>
        <w:jc w:val="center"/>
        <w:rPr>
          <w:rFonts w:asciiTheme="minorEastAsia" w:hAnsiTheme="minorEastAsia" w:eastAsiaTheme="minorEastAsia"/>
          <w:b/>
          <w:sz w:val="32"/>
          <w:szCs w:val="32"/>
        </w:rPr>
      </w:pPr>
    </w:p>
    <w:p>
      <w:pPr>
        <w:ind w:firstLine="645"/>
        <w:rPr>
          <w:rFonts w:asciiTheme="minorEastAsia" w:hAnsiTheme="minorEastAsia" w:eastAsiaTheme="minorEastAsia"/>
          <w:b/>
          <w:sz w:val="32"/>
          <w:szCs w:val="32"/>
        </w:rPr>
      </w:pPr>
      <w:r>
        <w:rPr>
          <w:rFonts w:hint="eastAsia" w:asciiTheme="minorEastAsia" w:hAnsiTheme="minorEastAsia" w:eastAsiaTheme="minorEastAsia"/>
          <w:b/>
          <w:sz w:val="32"/>
          <w:szCs w:val="32"/>
        </w:rPr>
        <w:t>第一部分：</w:t>
      </w:r>
      <w:r>
        <w:rPr>
          <w:rFonts w:hint="eastAsia" w:asciiTheme="minorEastAsia" w:hAnsiTheme="minorEastAsia" w:eastAsiaTheme="minorEastAsia"/>
          <w:b/>
          <w:bCs/>
          <w:color w:val="000000"/>
          <w:sz w:val="32"/>
          <w:szCs w:val="32"/>
        </w:rPr>
        <w:t>广西壮族自治区人力资源和社会保障宣传中心</w:t>
      </w:r>
      <w:r>
        <w:rPr>
          <w:rFonts w:hint="eastAsia" w:asciiTheme="minorEastAsia" w:hAnsiTheme="minorEastAsia" w:eastAsiaTheme="minorEastAsia"/>
          <w:b/>
          <w:sz w:val="32"/>
          <w:szCs w:val="32"/>
        </w:rPr>
        <w:t>概况</w:t>
      </w:r>
    </w:p>
    <w:p>
      <w:pPr>
        <w:ind w:firstLine="645"/>
        <w:rPr>
          <w:rFonts w:asciiTheme="minorEastAsia" w:hAnsiTheme="minorEastAsia" w:eastAsiaTheme="minorEastAsia"/>
          <w:sz w:val="32"/>
          <w:szCs w:val="32"/>
        </w:rPr>
      </w:pPr>
      <w:r>
        <w:rPr>
          <w:rFonts w:hint="eastAsia" w:asciiTheme="minorEastAsia" w:hAnsiTheme="minorEastAsia" w:eastAsiaTheme="minorEastAsia"/>
          <w:sz w:val="32"/>
          <w:szCs w:val="32"/>
        </w:rPr>
        <w:t>一、主要职能</w:t>
      </w:r>
    </w:p>
    <w:p>
      <w:pPr>
        <w:ind w:firstLine="645"/>
        <w:rPr>
          <w:rFonts w:asciiTheme="minorEastAsia" w:hAnsiTheme="minorEastAsia" w:eastAsiaTheme="minorEastAsia"/>
          <w:sz w:val="32"/>
          <w:szCs w:val="32"/>
        </w:rPr>
      </w:pPr>
      <w:r>
        <w:rPr>
          <w:rFonts w:hint="eastAsia" w:asciiTheme="minorEastAsia" w:hAnsiTheme="minorEastAsia" w:eastAsiaTheme="minorEastAsia"/>
          <w:sz w:val="32"/>
          <w:szCs w:val="32"/>
        </w:rPr>
        <w:t>二、部门决算单位构成</w:t>
      </w:r>
    </w:p>
    <w:p>
      <w:pPr>
        <w:ind w:firstLine="645"/>
        <w:rPr>
          <w:rFonts w:asciiTheme="minorEastAsia" w:hAnsiTheme="minorEastAsia" w:eastAsiaTheme="minorEastAsia"/>
          <w:b/>
          <w:sz w:val="32"/>
          <w:szCs w:val="32"/>
        </w:rPr>
      </w:pPr>
      <w:r>
        <w:rPr>
          <w:rFonts w:hint="eastAsia" w:asciiTheme="minorEastAsia" w:hAnsiTheme="minorEastAsia" w:eastAsiaTheme="minorEastAsia"/>
          <w:b/>
          <w:sz w:val="32"/>
          <w:szCs w:val="32"/>
        </w:rPr>
        <w:t>第二部分：</w:t>
      </w:r>
      <w:r>
        <w:rPr>
          <w:rFonts w:hint="eastAsia" w:asciiTheme="minorEastAsia" w:hAnsiTheme="minorEastAsia" w:eastAsiaTheme="minorEastAsia"/>
          <w:b/>
          <w:bCs/>
          <w:color w:val="000000"/>
          <w:sz w:val="32"/>
          <w:szCs w:val="32"/>
        </w:rPr>
        <w:t>广西壮族自治区人力资源和社会保障宣传中心</w:t>
      </w:r>
      <w:r>
        <w:rPr>
          <w:rFonts w:hint="eastAsia" w:asciiTheme="minorEastAsia" w:hAnsiTheme="minorEastAsia" w:eastAsiaTheme="minorEastAsia"/>
          <w:b/>
          <w:sz w:val="32"/>
          <w:szCs w:val="32"/>
        </w:rPr>
        <w:t>2020年部门决算报表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表一：收入支出决算总表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表二：收入决算表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表三：支出决算表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表四：财政拨款收入支出决算总表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表五：一般公共预算财政拨款支出决算表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表六：一般公共预算财政拨款基本支出决算表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表七：一般公共预算财政拨款安排的“三公”经费支出决算表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表八：政府性基金预算财政拨款收入支出决算表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表九：国有资本经营预算财政拨款收入支出决算表</w:t>
      </w:r>
    </w:p>
    <w:p>
      <w:pPr>
        <w:ind w:firstLine="645"/>
        <w:rPr>
          <w:rFonts w:asciiTheme="minorEastAsia" w:hAnsiTheme="minorEastAsia" w:eastAsiaTheme="minorEastAsia"/>
          <w:b/>
          <w:sz w:val="32"/>
          <w:szCs w:val="32"/>
        </w:rPr>
      </w:pPr>
      <w:r>
        <w:rPr>
          <w:rFonts w:hint="eastAsia" w:asciiTheme="minorEastAsia" w:hAnsiTheme="minorEastAsia" w:eastAsiaTheme="minorEastAsia"/>
          <w:b/>
          <w:sz w:val="32"/>
          <w:szCs w:val="32"/>
        </w:rPr>
        <w:t>第三部分：</w:t>
      </w:r>
      <w:r>
        <w:rPr>
          <w:rFonts w:hint="eastAsia" w:asciiTheme="minorEastAsia" w:hAnsiTheme="minorEastAsia" w:eastAsiaTheme="minorEastAsia"/>
          <w:b/>
          <w:bCs/>
          <w:color w:val="000000"/>
          <w:sz w:val="32"/>
          <w:szCs w:val="32"/>
        </w:rPr>
        <w:t>广西壮族自治区人力资源和社会保障宣传中心</w:t>
      </w:r>
      <w:r>
        <w:rPr>
          <w:rFonts w:hint="eastAsia" w:asciiTheme="minorEastAsia" w:hAnsiTheme="minorEastAsia" w:eastAsiaTheme="minorEastAsia"/>
          <w:b/>
          <w:sz w:val="32"/>
          <w:szCs w:val="32"/>
        </w:rPr>
        <w:t>2020年度部门决算情况说明</w:t>
      </w:r>
    </w:p>
    <w:p>
      <w:pPr>
        <w:autoSpaceDE w:val="0"/>
        <w:autoSpaceDN w:val="0"/>
        <w:adjustRightInd w:val="0"/>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一、</w:t>
      </w:r>
      <w:r>
        <w:rPr>
          <w:rFonts w:hint="eastAsia" w:asciiTheme="minorEastAsia" w:hAnsiTheme="minorEastAsia" w:eastAsiaTheme="minorEastAsia"/>
          <w:kern w:val="0"/>
          <w:sz w:val="32"/>
          <w:szCs w:val="32"/>
        </w:rPr>
        <w:t>2020</w:t>
      </w:r>
      <w:r>
        <w:rPr>
          <w:rFonts w:hint="eastAsia" w:cs="仿宋_GB2312" w:asciiTheme="minorEastAsia" w:hAnsiTheme="minorEastAsia" w:eastAsiaTheme="minorEastAsia"/>
          <w:kern w:val="0"/>
          <w:sz w:val="32"/>
          <w:szCs w:val="32"/>
        </w:rPr>
        <w:t>年度收入支出决算总体情况。</w:t>
      </w:r>
    </w:p>
    <w:p>
      <w:pPr>
        <w:autoSpaceDE w:val="0"/>
        <w:autoSpaceDN w:val="0"/>
        <w:adjustRightInd w:val="0"/>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二、</w:t>
      </w:r>
      <w:r>
        <w:rPr>
          <w:rFonts w:hint="eastAsia" w:asciiTheme="minorEastAsia" w:hAnsiTheme="minorEastAsia" w:eastAsiaTheme="minorEastAsia"/>
          <w:kern w:val="0"/>
          <w:sz w:val="32"/>
          <w:szCs w:val="32"/>
        </w:rPr>
        <w:t>2020</w:t>
      </w:r>
      <w:r>
        <w:rPr>
          <w:rFonts w:hint="eastAsia" w:cs="仿宋_GB2312" w:asciiTheme="minorEastAsia" w:hAnsiTheme="minorEastAsia" w:eastAsiaTheme="minorEastAsia"/>
          <w:kern w:val="0"/>
          <w:sz w:val="32"/>
          <w:szCs w:val="32"/>
        </w:rPr>
        <w:t>年度</w:t>
      </w:r>
      <w:r>
        <w:rPr>
          <w:rFonts w:hint="eastAsia" w:asciiTheme="minorEastAsia" w:hAnsiTheme="minorEastAsia" w:eastAsiaTheme="minorEastAsia"/>
          <w:sz w:val="32"/>
          <w:szCs w:val="32"/>
        </w:rPr>
        <w:t>一般</w:t>
      </w:r>
      <w:r>
        <w:rPr>
          <w:rFonts w:hint="eastAsia" w:cs="仿宋_GB2312" w:asciiTheme="minorEastAsia" w:hAnsiTheme="minorEastAsia" w:eastAsiaTheme="minorEastAsia"/>
          <w:kern w:val="0"/>
          <w:sz w:val="32"/>
          <w:szCs w:val="32"/>
        </w:rPr>
        <w:t>公共预算财政拨款支出决算情况。</w:t>
      </w:r>
    </w:p>
    <w:p>
      <w:pPr>
        <w:autoSpaceDE w:val="0"/>
        <w:autoSpaceDN w:val="0"/>
        <w:adjustRightInd w:val="0"/>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三、2020年度一般公共预算财政拨款基本支出决算情况说明。</w:t>
      </w:r>
    </w:p>
    <w:p>
      <w:pPr>
        <w:autoSpaceDE w:val="0"/>
        <w:autoSpaceDN w:val="0"/>
        <w:adjustRightInd w:val="0"/>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四、</w:t>
      </w:r>
      <w:r>
        <w:rPr>
          <w:rFonts w:hint="eastAsia" w:asciiTheme="minorEastAsia" w:hAnsiTheme="minorEastAsia" w:eastAsiaTheme="minorEastAsia"/>
          <w:kern w:val="0"/>
          <w:sz w:val="32"/>
          <w:szCs w:val="32"/>
        </w:rPr>
        <w:t>2020</w:t>
      </w:r>
      <w:r>
        <w:rPr>
          <w:rFonts w:hint="eastAsia" w:cs="仿宋_GB2312" w:asciiTheme="minorEastAsia" w:hAnsiTheme="minorEastAsia" w:eastAsiaTheme="minorEastAsia"/>
          <w:kern w:val="0"/>
          <w:sz w:val="32"/>
          <w:szCs w:val="32"/>
        </w:rPr>
        <w:t>年度政府性基金支出决算情况。</w:t>
      </w:r>
    </w:p>
    <w:p>
      <w:pPr>
        <w:autoSpaceDE w:val="0"/>
        <w:autoSpaceDN w:val="0"/>
        <w:adjustRightInd w:val="0"/>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五、2020年度国有资本经营预算支出决算情况</w:t>
      </w:r>
    </w:p>
    <w:p>
      <w:pPr>
        <w:autoSpaceDE w:val="0"/>
        <w:autoSpaceDN w:val="0"/>
        <w:adjustRightInd w:val="0"/>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六、2020年度</w:t>
      </w:r>
      <w:r>
        <w:rPr>
          <w:rFonts w:hint="eastAsia" w:asciiTheme="minorEastAsia" w:hAnsiTheme="minorEastAsia" w:eastAsiaTheme="minorEastAsia"/>
          <w:sz w:val="32"/>
          <w:szCs w:val="32"/>
        </w:rPr>
        <w:t>一般</w:t>
      </w:r>
      <w:r>
        <w:rPr>
          <w:rFonts w:hint="eastAsia" w:cs="仿宋_GB2312" w:asciiTheme="minorEastAsia" w:hAnsiTheme="minorEastAsia" w:eastAsiaTheme="minorEastAsia"/>
          <w:kern w:val="0"/>
          <w:sz w:val="32"/>
          <w:szCs w:val="32"/>
        </w:rPr>
        <w:t>公共预算财政拨款安排的“三公”经费支出决算情况说明。</w:t>
      </w:r>
    </w:p>
    <w:p>
      <w:pPr>
        <w:autoSpaceDE w:val="0"/>
        <w:autoSpaceDN w:val="0"/>
        <w:adjustRightInd w:val="0"/>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七、其他重要事项情况说明。</w:t>
      </w:r>
    </w:p>
    <w:p>
      <w:pPr>
        <w:ind w:firstLine="642" w:firstLineChars="200"/>
        <w:rPr>
          <w:rFonts w:cs="仿宋_GB2312" w:asciiTheme="minorEastAsia" w:hAnsiTheme="minorEastAsia" w:eastAsiaTheme="minorEastAsia"/>
          <w:b/>
          <w:kern w:val="0"/>
          <w:sz w:val="32"/>
          <w:szCs w:val="32"/>
        </w:rPr>
      </w:pPr>
      <w:r>
        <w:rPr>
          <w:rFonts w:hint="eastAsia" w:cs="仿宋_GB2312" w:asciiTheme="minorEastAsia" w:hAnsiTheme="minorEastAsia" w:eastAsiaTheme="minorEastAsia"/>
          <w:b/>
          <w:kern w:val="0"/>
          <w:sz w:val="32"/>
          <w:szCs w:val="32"/>
        </w:rPr>
        <w:t>第四部分、名词解释。</w:t>
      </w: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0" w:firstLineChars="200"/>
        <w:rPr>
          <w:rFonts w:asciiTheme="minorEastAsia" w:hAnsiTheme="minorEastAsia" w:eastAsiaTheme="minorEastAsia"/>
          <w:sz w:val="32"/>
          <w:szCs w:val="32"/>
        </w:rPr>
      </w:pPr>
    </w:p>
    <w:p>
      <w:pPr>
        <w:ind w:firstLine="645"/>
        <w:jc w:val="center"/>
        <w:rPr>
          <w:rFonts w:asciiTheme="minorEastAsia" w:hAnsiTheme="minorEastAsia" w:eastAsiaTheme="minorEastAsia"/>
          <w:b/>
          <w:sz w:val="32"/>
          <w:szCs w:val="32"/>
        </w:rPr>
      </w:pPr>
    </w:p>
    <w:p>
      <w:pPr>
        <w:ind w:firstLine="645"/>
        <w:jc w:val="center"/>
        <w:rPr>
          <w:rFonts w:ascii="黑体" w:hAnsi="黑体" w:eastAsia="黑体"/>
          <w:bCs/>
          <w:color w:val="000000"/>
          <w:sz w:val="32"/>
          <w:szCs w:val="32"/>
        </w:rPr>
      </w:pPr>
      <w:r>
        <w:rPr>
          <w:rFonts w:hint="eastAsia" w:ascii="黑体" w:hAnsi="黑体" w:eastAsia="黑体"/>
          <w:sz w:val="32"/>
          <w:szCs w:val="32"/>
        </w:rPr>
        <w:t>第一部分：</w:t>
      </w:r>
      <w:r>
        <w:rPr>
          <w:rFonts w:hint="eastAsia" w:ascii="黑体" w:hAnsi="黑体" w:eastAsia="黑体"/>
          <w:bCs/>
          <w:color w:val="000000"/>
          <w:sz w:val="32"/>
          <w:szCs w:val="32"/>
        </w:rPr>
        <w:t>广西壮族自治区人力资源和社会保障</w:t>
      </w:r>
    </w:p>
    <w:p>
      <w:pPr>
        <w:ind w:firstLine="645"/>
        <w:jc w:val="center"/>
        <w:rPr>
          <w:rFonts w:ascii="黑体" w:hAnsi="黑体" w:eastAsia="黑体"/>
          <w:sz w:val="32"/>
          <w:szCs w:val="32"/>
        </w:rPr>
      </w:pPr>
      <w:r>
        <w:rPr>
          <w:rFonts w:hint="eastAsia" w:ascii="黑体" w:hAnsi="黑体" w:eastAsia="黑体"/>
          <w:bCs/>
          <w:color w:val="000000"/>
          <w:sz w:val="32"/>
          <w:szCs w:val="32"/>
        </w:rPr>
        <w:t>宣传中心</w:t>
      </w:r>
      <w:r>
        <w:rPr>
          <w:rFonts w:hint="eastAsia" w:ascii="黑体" w:hAnsi="黑体" w:eastAsia="黑体"/>
          <w:sz w:val="32"/>
          <w:szCs w:val="32"/>
        </w:rPr>
        <w:t>概况</w:t>
      </w:r>
    </w:p>
    <w:p>
      <w:pPr>
        <w:ind w:firstLine="645"/>
        <w:rPr>
          <w:rFonts w:asciiTheme="minorEastAsia" w:hAnsiTheme="minorEastAsia" w:eastAsiaTheme="minorEastAsia"/>
          <w:b/>
          <w:sz w:val="32"/>
          <w:szCs w:val="32"/>
        </w:rPr>
      </w:pPr>
      <w:r>
        <w:rPr>
          <w:rFonts w:hint="eastAsia" w:asciiTheme="minorEastAsia" w:hAnsiTheme="minorEastAsia" w:eastAsiaTheme="minorEastAsia"/>
          <w:b/>
          <w:sz w:val="32"/>
          <w:szCs w:val="32"/>
        </w:rPr>
        <w:t>一、主要职能</w:t>
      </w:r>
    </w:p>
    <w:p>
      <w:pPr>
        <w:spacing w:line="520" w:lineRule="exact"/>
        <w:ind w:firstLine="630"/>
        <w:rPr>
          <w:rFonts w:cs="宋体" w:asciiTheme="minorEastAsia" w:hAnsiTheme="minorEastAsia" w:eastAsiaTheme="minorEastAsia"/>
          <w:bCs/>
          <w:color w:val="000000"/>
          <w:sz w:val="32"/>
          <w:szCs w:val="32"/>
        </w:rPr>
      </w:pPr>
      <w:r>
        <w:rPr>
          <w:rFonts w:hint="eastAsia" w:cs="宋体" w:asciiTheme="minorEastAsia" w:hAnsiTheme="minorEastAsia" w:eastAsiaTheme="minorEastAsia"/>
          <w:bCs/>
          <w:color w:val="000000"/>
          <w:sz w:val="32"/>
          <w:szCs w:val="32"/>
        </w:rPr>
        <w:t>广西壮族自治区人力资源和社会保障宣传中心的主要职责是：</w:t>
      </w:r>
    </w:p>
    <w:p>
      <w:pPr>
        <w:spacing w:line="520" w:lineRule="exact"/>
        <w:ind w:firstLine="630"/>
        <w:rPr>
          <w:rFonts w:cs="宋体" w:asciiTheme="minorEastAsia" w:hAnsiTheme="minorEastAsia" w:eastAsiaTheme="minorEastAsia"/>
          <w:bCs/>
          <w:color w:val="000000"/>
          <w:sz w:val="32"/>
          <w:szCs w:val="32"/>
        </w:rPr>
      </w:pPr>
      <w:r>
        <w:rPr>
          <w:rFonts w:hint="eastAsia" w:cs="宋体" w:asciiTheme="minorEastAsia" w:hAnsiTheme="minorEastAsia" w:eastAsiaTheme="minorEastAsia"/>
          <w:bCs/>
          <w:color w:val="000000"/>
          <w:sz w:val="32"/>
          <w:szCs w:val="32"/>
        </w:rPr>
        <w:t>人力资源和社会保障宣传中心的主要职责是：</w:t>
      </w:r>
    </w:p>
    <w:p>
      <w:pPr>
        <w:shd w:val="clear" w:color="auto" w:fill="FFFFFF"/>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（一）承担自治区人力资源社会保障厅新闻宣传、舆情监控、文化建设有关工作；</w:t>
      </w:r>
    </w:p>
    <w:p>
      <w:pPr>
        <w:shd w:val="clear" w:color="auto" w:fill="FFFFFF"/>
        <w:spacing w:line="480" w:lineRule="atLeast"/>
        <w:ind w:firstLine="480"/>
        <w:rPr>
          <w:rFonts w:asciiTheme="minorEastAsia" w:hAnsiTheme="minorEastAsia" w:eastAsiaTheme="minorEastAsia"/>
          <w:color w:val="333333"/>
          <w:sz w:val="32"/>
          <w:szCs w:val="32"/>
        </w:rPr>
      </w:pPr>
      <w:r>
        <w:rPr>
          <w:rFonts w:hint="eastAsia" w:asciiTheme="minorEastAsia" w:hAnsiTheme="minorEastAsia" w:eastAsiaTheme="minorEastAsia"/>
          <w:sz w:val="32"/>
          <w:szCs w:val="32"/>
        </w:rPr>
        <w:t>（二）负责重大政策、重大活动的宣传组织实施工作；</w:t>
      </w:r>
    </w:p>
    <w:p>
      <w:pPr>
        <w:shd w:val="clear" w:color="auto" w:fill="FFFFFF"/>
        <w:spacing w:line="480" w:lineRule="atLeast"/>
        <w:ind w:firstLine="480"/>
        <w:rPr>
          <w:rFonts w:asciiTheme="minorEastAsia" w:hAnsiTheme="minorEastAsia" w:eastAsiaTheme="minorEastAsia"/>
          <w:color w:val="333333"/>
          <w:sz w:val="32"/>
          <w:szCs w:val="32"/>
        </w:rPr>
      </w:pPr>
      <w:r>
        <w:rPr>
          <w:rFonts w:hint="eastAsia" w:asciiTheme="minorEastAsia" w:hAnsiTheme="minorEastAsia" w:eastAsiaTheme="minorEastAsia"/>
          <w:color w:val="000000"/>
          <w:kern w:val="0"/>
          <w:sz w:val="32"/>
          <w:szCs w:val="32"/>
        </w:rPr>
        <w:t>（三）承担新闻发布工作</w:t>
      </w:r>
      <w:r>
        <w:rPr>
          <w:rFonts w:hint="eastAsia" w:asciiTheme="minorEastAsia" w:hAnsiTheme="minorEastAsia" w:eastAsiaTheme="minorEastAsia"/>
          <w:sz w:val="32"/>
          <w:szCs w:val="32"/>
        </w:rPr>
        <w:t>；</w:t>
      </w:r>
    </w:p>
    <w:p>
      <w:pPr>
        <w:shd w:val="clear" w:color="auto" w:fill="FFFFFF"/>
        <w:spacing w:line="480" w:lineRule="atLeast"/>
        <w:ind w:firstLine="480"/>
        <w:rPr>
          <w:rFonts w:asciiTheme="minorEastAsia" w:hAnsiTheme="minorEastAsia" w:eastAsiaTheme="minorEastAsia"/>
          <w:color w:val="333333"/>
          <w:sz w:val="32"/>
          <w:szCs w:val="32"/>
        </w:rPr>
      </w:pPr>
      <w:r>
        <w:rPr>
          <w:rFonts w:hint="eastAsia" w:asciiTheme="minorEastAsia" w:hAnsiTheme="minorEastAsia" w:eastAsiaTheme="minorEastAsia"/>
          <w:sz w:val="32"/>
          <w:szCs w:val="32"/>
        </w:rPr>
        <w:t>（四）受理境内外新闻媒体日常采访事宜；</w:t>
      </w:r>
    </w:p>
    <w:p>
      <w:pPr>
        <w:shd w:val="clear" w:color="auto" w:fill="FFFFFF"/>
        <w:spacing w:line="480" w:lineRule="atLeast"/>
        <w:ind w:firstLine="480"/>
        <w:rPr>
          <w:rFonts w:asciiTheme="minorEastAsia" w:hAnsiTheme="minorEastAsia" w:eastAsiaTheme="minorEastAsia"/>
          <w:color w:val="333333"/>
          <w:sz w:val="32"/>
          <w:szCs w:val="32"/>
        </w:rPr>
      </w:pPr>
      <w:r>
        <w:rPr>
          <w:rFonts w:hint="eastAsia" w:asciiTheme="minorEastAsia" w:hAnsiTheme="minorEastAsia" w:eastAsiaTheme="minorEastAsia"/>
          <w:sz w:val="32"/>
          <w:szCs w:val="32"/>
        </w:rPr>
        <w:t>（五）承担自治区人力资源社会保障厅网站综合性和内容建设工作。</w:t>
      </w:r>
    </w:p>
    <w:p>
      <w:pPr>
        <w:shd w:val="clear" w:color="auto" w:fill="FFFFFF"/>
        <w:spacing w:line="480" w:lineRule="atLeast"/>
        <w:ind w:firstLine="480"/>
        <w:rPr>
          <w:rFonts w:asciiTheme="minorEastAsia" w:hAnsiTheme="minorEastAsia" w:eastAsiaTheme="minorEastAsia"/>
          <w:color w:val="333333"/>
          <w:sz w:val="32"/>
          <w:szCs w:val="32"/>
        </w:rPr>
      </w:pPr>
      <w:r>
        <w:rPr>
          <w:rFonts w:hint="eastAsia" w:cs="宋体" w:asciiTheme="minorEastAsia" w:hAnsiTheme="minorEastAsia" w:eastAsiaTheme="minorEastAsia"/>
          <w:b/>
          <w:sz w:val="32"/>
          <w:szCs w:val="32"/>
        </w:rPr>
        <w:t>二、人员构成情况</w:t>
      </w:r>
    </w:p>
    <w:p>
      <w:pPr>
        <w:spacing w:line="520" w:lineRule="exact"/>
        <w:rPr>
          <w:rFonts w:cs="宋体" w:asciiTheme="minorEastAsia" w:hAnsiTheme="minorEastAsia" w:eastAsiaTheme="minorEastAsia"/>
          <w:bCs/>
          <w:color w:val="000000"/>
          <w:sz w:val="32"/>
          <w:szCs w:val="32"/>
        </w:rPr>
      </w:pPr>
      <w:r>
        <w:rPr>
          <w:rFonts w:hint="eastAsia" w:cs="宋体" w:asciiTheme="minorEastAsia" w:hAnsiTheme="minorEastAsia" w:eastAsiaTheme="minorEastAsia"/>
          <w:sz w:val="32"/>
          <w:szCs w:val="32"/>
        </w:rPr>
        <w:t>广西壮族自治区人力资源和社会保障宣传中心</w:t>
      </w:r>
      <w:r>
        <w:rPr>
          <w:rFonts w:hint="eastAsia" w:asciiTheme="minorEastAsia" w:hAnsiTheme="minorEastAsia" w:eastAsiaTheme="minorEastAsia"/>
          <w:bCs/>
          <w:sz w:val="32"/>
          <w:szCs w:val="32"/>
        </w:rPr>
        <w:t>是在自治区人力资源和社会保障厅下属的正处级财政全额拨款事业单位。</w:t>
      </w:r>
      <w:r>
        <w:rPr>
          <w:rFonts w:hint="eastAsia" w:cs="宋体" w:asciiTheme="minorEastAsia" w:hAnsiTheme="minorEastAsia" w:eastAsiaTheme="minorEastAsia"/>
          <w:bCs/>
          <w:color w:val="000000"/>
          <w:sz w:val="32"/>
          <w:szCs w:val="32"/>
        </w:rPr>
        <w:t>核定事业编制9人，实有在编人员7人；退休干部1人。</w:t>
      </w:r>
    </w:p>
    <w:p>
      <w:pPr>
        <w:spacing w:line="520" w:lineRule="exact"/>
        <w:rPr>
          <w:rFonts w:cs="宋体" w:asciiTheme="minorEastAsia" w:hAnsiTheme="minorEastAsia" w:eastAsiaTheme="minorEastAsia"/>
          <w:bCs/>
          <w:color w:val="000000"/>
          <w:sz w:val="32"/>
          <w:szCs w:val="32"/>
        </w:rPr>
      </w:pPr>
    </w:p>
    <w:p>
      <w:pPr>
        <w:spacing w:line="520" w:lineRule="exact"/>
        <w:rPr>
          <w:rFonts w:cs="宋体" w:asciiTheme="minorEastAsia" w:hAnsiTheme="minorEastAsia" w:eastAsiaTheme="minorEastAsia"/>
          <w:bCs/>
          <w:color w:val="000000"/>
          <w:sz w:val="32"/>
          <w:szCs w:val="32"/>
        </w:rPr>
        <w:sectPr>
          <w:footerReference r:id="rId3" w:type="default"/>
          <w:pgSz w:w="11906" w:h="16838"/>
          <w:pgMar w:top="1418" w:right="1701" w:bottom="1418" w:left="1418" w:header="851" w:footer="992" w:gutter="0"/>
          <w:cols w:space="425" w:num="1"/>
          <w:docGrid w:type="lines" w:linePitch="312" w:charSpace="0"/>
        </w:sectPr>
      </w:pPr>
    </w:p>
    <w:p>
      <w:pPr>
        <w:tabs>
          <w:tab w:val="left" w:pos="1560"/>
        </w:tabs>
        <w:jc w:val="center"/>
        <w:rPr>
          <w:rFonts w:ascii="黑体" w:hAnsi="黑体" w:eastAsia="黑体"/>
          <w:sz w:val="32"/>
          <w:szCs w:val="32"/>
        </w:rPr>
      </w:pPr>
      <w:r>
        <w:rPr>
          <w:rFonts w:hint="eastAsia" w:ascii="黑体" w:hAnsi="黑体" w:eastAsia="黑体"/>
          <w:sz w:val="32"/>
          <w:szCs w:val="32"/>
        </w:rPr>
        <w:t>第二部分：</w:t>
      </w:r>
      <w:r>
        <w:rPr>
          <w:rFonts w:hint="eastAsia" w:ascii="黑体" w:hAnsi="黑体" w:eastAsia="黑体"/>
          <w:bCs/>
          <w:color w:val="000000"/>
          <w:sz w:val="32"/>
          <w:szCs w:val="32"/>
        </w:rPr>
        <w:t>广西壮族自治区人力资源和社会保障宣传中心</w:t>
      </w:r>
      <w:r>
        <w:rPr>
          <w:rFonts w:hint="eastAsia" w:ascii="黑体" w:hAnsi="黑体" w:eastAsia="黑体"/>
          <w:sz w:val="32"/>
          <w:szCs w:val="32"/>
        </w:rPr>
        <w:t>2020年部门决算报表</w:t>
      </w:r>
    </w:p>
    <w:p>
      <w:pPr>
        <w:jc w:val="center"/>
        <w:rPr>
          <w:rFonts w:ascii="黑体" w:hAnsi="黑体" w:eastAsia="黑体"/>
          <w:b/>
          <w:sz w:val="32"/>
          <w:szCs w:val="32"/>
        </w:rPr>
      </w:pPr>
    </w:p>
    <w:p>
      <w:pPr>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color w:val="000000"/>
          <w:kern w:val="0"/>
          <w:sz w:val="32"/>
          <w:szCs w:val="32"/>
        </w:rPr>
        <w:t>表一：收入支出决算总表</w:t>
      </w:r>
    </w:p>
    <w:p>
      <w:pPr>
        <w:jc w:val="center"/>
        <w:rPr>
          <w:rFonts w:ascii="宋体" w:cs="宋体"/>
          <w:color w:val="000000"/>
          <w:kern w:val="0"/>
          <w:sz w:val="32"/>
          <w:szCs w:val="32"/>
        </w:rPr>
      </w:pPr>
      <w:r>
        <w:rPr>
          <w:rFonts w:hint="eastAsia" w:ascii="宋体" w:cs="宋体"/>
          <w:color w:val="000000"/>
          <w:kern w:val="0"/>
          <w:sz w:val="32"/>
          <w:szCs w:val="32"/>
        </w:rPr>
        <w:t>收入支出决算总表</w:t>
      </w:r>
    </w:p>
    <w:tbl>
      <w:tblPr>
        <w:tblStyle w:val="4"/>
        <w:tblW w:w="5000" w:type="pct"/>
        <w:tblInd w:w="0" w:type="dxa"/>
        <w:tblLayout w:type="autofit"/>
        <w:tblCellMar>
          <w:top w:w="0" w:type="dxa"/>
          <w:left w:w="108" w:type="dxa"/>
          <w:bottom w:w="0" w:type="dxa"/>
          <w:right w:w="108" w:type="dxa"/>
        </w:tblCellMar>
      </w:tblPr>
      <w:tblGrid>
        <w:gridCol w:w="4574"/>
        <w:gridCol w:w="656"/>
        <w:gridCol w:w="2443"/>
        <w:gridCol w:w="4575"/>
        <w:gridCol w:w="657"/>
        <w:gridCol w:w="2447"/>
      </w:tblGrid>
      <w:tr>
        <w:tblPrEx>
          <w:tblCellMar>
            <w:top w:w="0" w:type="dxa"/>
            <w:left w:w="108" w:type="dxa"/>
            <w:bottom w:w="0" w:type="dxa"/>
            <w:right w:w="108" w:type="dxa"/>
          </w:tblCellMar>
        </w:tblPrEx>
        <w:trPr>
          <w:trHeight w:val="255" w:hRule="atLeast"/>
        </w:trPr>
        <w:tc>
          <w:tcPr>
            <w:tcW w:w="1494"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05"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80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94"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05"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800"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公开01表</w:t>
            </w:r>
          </w:p>
        </w:tc>
      </w:tr>
      <w:tr>
        <w:tblPrEx>
          <w:tblCellMar>
            <w:top w:w="0" w:type="dxa"/>
            <w:left w:w="108" w:type="dxa"/>
            <w:bottom w:w="0" w:type="dxa"/>
            <w:right w:w="108" w:type="dxa"/>
          </w:tblCellMar>
        </w:tblPrEx>
        <w:trPr>
          <w:trHeight w:val="255" w:hRule="atLeast"/>
        </w:trPr>
        <w:tc>
          <w:tcPr>
            <w:tcW w:w="1700" w:type="pct"/>
            <w:gridSpan w:val="2"/>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部门：广西壮族自治区人力资源和社会保障宣传中心</w:t>
            </w:r>
          </w:p>
        </w:tc>
        <w:tc>
          <w:tcPr>
            <w:tcW w:w="80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94"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05"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800"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2500"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收入</w:t>
            </w:r>
          </w:p>
        </w:tc>
        <w:tc>
          <w:tcPr>
            <w:tcW w:w="2500" w:type="pct"/>
            <w:gridSpan w:val="3"/>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支出</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行次</w:t>
            </w:r>
          </w:p>
        </w:tc>
        <w:tc>
          <w:tcPr>
            <w:tcW w:w="800"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金额</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行次</w:t>
            </w:r>
          </w:p>
        </w:tc>
        <w:tc>
          <w:tcPr>
            <w:tcW w:w="800"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金额</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　</w:t>
            </w:r>
          </w:p>
        </w:tc>
        <w:tc>
          <w:tcPr>
            <w:tcW w:w="800"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　</w:t>
            </w:r>
          </w:p>
        </w:tc>
        <w:tc>
          <w:tcPr>
            <w:tcW w:w="800"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一、一般公共预算财政拨款收入</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343.26</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一、一般公共服务支出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308.83</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二、政府性基金预算财政拨款收入</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二、外交支出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33</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三、国有资本经营预算财政拨款收入</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三、国防支出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34</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四、上级补助收入</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四、公共安全支出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35</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五、事业收入</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五、教育支出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36</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六、经营收入</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六、科学技术支出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37</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七、附属单位上缴收入</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七、文化旅游体育与传媒支出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38</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八、其他收入</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8</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0.04</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八、社会保障和就业支出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39</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19.13</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9</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九、卫生健康支出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40</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10</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十、节能环保支出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41</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11</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十一、城乡社区支出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十二、农林水支出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43</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13</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十三、交通运输支出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44</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14</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十四、资源勘探工业信息等支出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45</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15</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十五、商业服务业等支出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46</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16</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十六、金融支出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47</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17</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十七、援助其他地区支出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48</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auto"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nil"/>
              <w:left w:val="nil"/>
              <w:bottom w:val="single" w:color="auto"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18</w:t>
            </w:r>
          </w:p>
        </w:tc>
        <w:tc>
          <w:tcPr>
            <w:tcW w:w="800" w:type="pct"/>
            <w:tcBorders>
              <w:top w:val="nil"/>
              <w:left w:val="nil"/>
              <w:bottom w:val="single" w:color="auto"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94" w:type="pct"/>
            <w:tcBorders>
              <w:top w:val="nil"/>
              <w:left w:val="nil"/>
              <w:bottom w:val="single" w:color="auto"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十八、自然资源海洋气象等支出</w:t>
            </w:r>
          </w:p>
        </w:tc>
        <w:tc>
          <w:tcPr>
            <w:tcW w:w="205" w:type="pct"/>
            <w:tcBorders>
              <w:top w:val="nil"/>
              <w:left w:val="nil"/>
              <w:bottom w:val="single" w:color="auto"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49</w:t>
            </w:r>
          </w:p>
        </w:tc>
        <w:tc>
          <w:tcPr>
            <w:tcW w:w="800" w:type="pct"/>
            <w:tcBorders>
              <w:top w:val="nil"/>
              <w:left w:val="nil"/>
              <w:bottom w:val="single" w:color="auto"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19</w:t>
            </w:r>
          </w:p>
        </w:tc>
        <w:tc>
          <w:tcPr>
            <w:tcW w:w="80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94"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十九、住房保障支出</w:t>
            </w:r>
          </w:p>
        </w:tc>
        <w:tc>
          <w:tcPr>
            <w:tcW w:w="205"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50</w:t>
            </w:r>
          </w:p>
        </w:tc>
        <w:tc>
          <w:tcPr>
            <w:tcW w:w="80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r>
      <w:tr>
        <w:tblPrEx>
          <w:tblCellMar>
            <w:top w:w="0" w:type="dxa"/>
            <w:left w:w="108" w:type="dxa"/>
            <w:bottom w:w="0" w:type="dxa"/>
            <w:right w:w="108" w:type="dxa"/>
          </w:tblCellMar>
        </w:tblPrEx>
        <w:trPr>
          <w:trHeight w:val="308" w:hRule="atLeast"/>
        </w:trPr>
        <w:tc>
          <w:tcPr>
            <w:tcW w:w="1494"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20</w:t>
            </w:r>
          </w:p>
        </w:tc>
        <w:tc>
          <w:tcPr>
            <w:tcW w:w="80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94"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二十、粮油物资储备支出</w:t>
            </w:r>
          </w:p>
        </w:tc>
        <w:tc>
          <w:tcPr>
            <w:tcW w:w="205"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51</w:t>
            </w:r>
          </w:p>
        </w:tc>
        <w:tc>
          <w:tcPr>
            <w:tcW w:w="80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single" w:color="auto" w:sz="4" w:space="0"/>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single" w:color="auto" w:sz="4" w:space="0"/>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21</w:t>
            </w:r>
          </w:p>
        </w:tc>
        <w:tc>
          <w:tcPr>
            <w:tcW w:w="800" w:type="pct"/>
            <w:tcBorders>
              <w:top w:val="single" w:color="auto" w:sz="4" w:space="0"/>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94" w:type="pct"/>
            <w:tcBorders>
              <w:top w:val="single" w:color="auto" w:sz="4" w:space="0"/>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二十一、国有资本经营预算支出</w:t>
            </w:r>
          </w:p>
        </w:tc>
        <w:tc>
          <w:tcPr>
            <w:tcW w:w="205" w:type="pct"/>
            <w:tcBorders>
              <w:top w:val="single" w:color="auto" w:sz="4" w:space="0"/>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52</w:t>
            </w:r>
          </w:p>
        </w:tc>
        <w:tc>
          <w:tcPr>
            <w:tcW w:w="800" w:type="pct"/>
            <w:tcBorders>
              <w:top w:val="single" w:color="auto" w:sz="4" w:space="0"/>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二十二、灾害防治及应急管理支出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53</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23</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二十三、其他支出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54</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0"/>
                <w:szCs w:val="20"/>
              </w:rPr>
            </w:pPr>
            <w:r>
              <w:rPr>
                <w:rFonts w:hint="eastAsia" w:ascii="宋体" w:hAnsi="宋体" w:cs="Arial"/>
                <w:b/>
                <w:bCs/>
                <w:color w:val="000000"/>
                <w:kern w:val="0"/>
                <w:sz w:val="20"/>
                <w:szCs w:val="20"/>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24</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二十四、债务还本支出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55</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25</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二十五、债务付息支出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56</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26</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二十六、抗疫特别国债安排的支出</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57</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本年收入合计</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27</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343.30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本年支出合计</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58</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343.28</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使用非财政拨款结余</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28</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结余分配</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59</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年初结转和结余</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29</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年末结转和结余</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60</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0.02</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30</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61</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49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总计</w:t>
            </w:r>
          </w:p>
        </w:tc>
        <w:tc>
          <w:tcPr>
            <w:tcW w:w="205" w:type="pct"/>
            <w:tcBorders>
              <w:top w:val="nil"/>
              <w:left w:val="nil"/>
              <w:bottom w:val="single" w:color="000000" w:sz="8"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31</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343.30</w:t>
            </w:r>
          </w:p>
        </w:tc>
        <w:tc>
          <w:tcPr>
            <w:tcW w:w="1494"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总计</w:t>
            </w:r>
          </w:p>
        </w:tc>
        <w:tc>
          <w:tcPr>
            <w:tcW w:w="20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343.30</w:t>
            </w:r>
          </w:p>
        </w:tc>
      </w:tr>
      <w:tr>
        <w:tblPrEx>
          <w:tblCellMar>
            <w:top w:w="0" w:type="dxa"/>
            <w:left w:w="108" w:type="dxa"/>
            <w:bottom w:w="0" w:type="dxa"/>
            <w:right w:w="108" w:type="dxa"/>
          </w:tblCellMar>
        </w:tblPrEx>
        <w:trPr>
          <w:trHeight w:val="308" w:hRule="atLeast"/>
        </w:trPr>
        <w:tc>
          <w:tcPr>
            <w:tcW w:w="5000" w:type="pct"/>
            <w:gridSpan w:val="6"/>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注：本表反映部门本年度的总收支和年末结转结余情况。本套报表金额单位转换时可能存在尾数误差。</w:t>
            </w:r>
          </w:p>
        </w:tc>
      </w:tr>
    </w:tbl>
    <w:p>
      <w:pPr>
        <w:rPr>
          <w:rFonts w:ascii="黑体" w:hAnsi="黑体" w:eastAsia="黑体" w:cs="宋体"/>
          <w:color w:val="000000"/>
          <w:kern w:val="0"/>
          <w:sz w:val="32"/>
          <w:szCs w:val="32"/>
        </w:rPr>
      </w:pPr>
    </w:p>
    <w:p>
      <w:pPr>
        <w:spacing w:line="520" w:lineRule="exact"/>
        <w:rPr>
          <w:rFonts w:ascii="宋体" w:hAnsi="宋体" w:cs="宋体"/>
          <w:bCs/>
          <w:color w:val="000000"/>
          <w:sz w:val="28"/>
          <w:szCs w:val="28"/>
        </w:rPr>
      </w:pPr>
    </w:p>
    <w:p>
      <w:pPr>
        <w:spacing w:line="520" w:lineRule="exact"/>
        <w:ind w:firstLine="630"/>
        <w:rPr>
          <w:rFonts w:ascii="宋体" w:hAnsi="宋体" w:cs="宋体"/>
          <w:bCs/>
          <w:color w:val="000000"/>
          <w:sz w:val="28"/>
          <w:szCs w:val="28"/>
        </w:rPr>
      </w:pPr>
    </w:p>
    <w:p>
      <w:pPr>
        <w:spacing w:line="520" w:lineRule="exact"/>
        <w:ind w:firstLine="630"/>
        <w:rPr>
          <w:rFonts w:ascii="宋体" w:hAnsi="宋体" w:cs="宋体"/>
          <w:bCs/>
          <w:color w:val="000000"/>
          <w:sz w:val="28"/>
          <w:szCs w:val="28"/>
        </w:rPr>
      </w:pPr>
    </w:p>
    <w:p>
      <w:pPr>
        <w:rPr>
          <w:rFonts w:ascii="仿宋_GB2312" w:eastAsia="仿宋_GB2312"/>
          <w:b/>
          <w:sz w:val="32"/>
          <w:szCs w:val="32"/>
        </w:rPr>
      </w:pPr>
    </w:p>
    <w:p>
      <w:pPr>
        <w:jc w:val="left"/>
        <w:rPr>
          <w:rFonts w:ascii="黑体" w:hAnsi="黑体" w:eastAsia="黑体" w:cs="宋体"/>
          <w:color w:val="000000"/>
          <w:kern w:val="0"/>
          <w:sz w:val="32"/>
          <w:szCs w:val="32"/>
        </w:rPr>
      </w:pPr>
    </w:p>
    <w:p>
      <w:pPr>
        <w:jc w:val="left"/>
        <w:rPr>
          <w:rFonts w:ascii="黑体" w:hAnsi="黑体" w:eastAsia="黑体" w:cs="宋体"/>
          <w:color w:val="000000"/>
          <w:kern w:val="0"/>
          <w:sz w:val="32"/>
          <w:szCs w:val="32"/>
        </w:rPr>
      </w:pPr>
    </w:p>
    <w:p>
      <w:pPr>
        <w:jc w:val="left"/>
        <w:rPr>
          <w:rFonts w:ascii="黑体" w:hAnsi="黑体" w:eastAsia="黑体" w:cs="宋体"/>
          <w:color w:val="000000"/>
          <w:kern w:val="0"/>
          <w:sz w:val="32"/>
          <w:szCs w:val="32"/>
        </w:rPr>
      </w:pPr>
    </w:p>
    <w:p>
      <w:pPr>
        <w:jc w:val="left"/>
        <w:rPr>
          <w:rFonts w:ascii="黑体" w:hAnsi="黑体" w:eastAsia="黑体" w:cs="宋体"/>
          <w:color w:val="000000"/>
          <w:kern w:val="0"/>
          <w:sz w:val="32"/>
          <w:szCs w:val="32"/>
        </w:rPr>
      </w:pPr>
    </w:p>
    <w:p>
      <w:pPr>
        <w:jc w:val="left"/>
        <w:rPr>
          <w:rFonts w:ascii="黑体" w:hAnsi="黑体" w:eastAsia="黑体" w:cs="宋体"/>
          <w:color w:val="000000"/>
          <w:kern w:val="0"/>
          <w:sz w:val="32"/>
          <w:szCs w:val="32"/>
        </w:rPr>
      </w:pPr>
    </w:p>
    <w:p>
      <w:pPr>
        <w:jc w:val="left"/>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color w:val="000000"/>
          <w:kern w:val="0"/>
          <w:sz w:val="32"/>
          <w:szCs w:val="32"/>
        </w:rPr>
        <w:t xml:space="preserve">表二：收入决算表               </w:t>
      </w:r>
    </w:p>
    <w:p>
      <w:pPr>
        <w:jc w:val="center"/>
        <w:rPr>
          <w:rFonts w:ascii="宋体" w:cs="宋体"/>
          <w:color w:val="000000"/>
          <w:kern w:val="0"/>
          <w:sz w:val="32"/>
          <w:szCs w:val="32"/>
        </w:rPr>
      </w:pPr>
      <w:r>
        <w:rPr>
          <w:rFonts w:hint="eastAsia" w:ascii="宋体" w:cs="宋体"/>
          <w:color w:val="000000"/>
          <w:kern w:val="0"/>
          <w:sz w:val="32"/>
          <w:szCs w:val="32"/>
        </w:rPr>
        <w:t>收入决算表</w:t>
      </w:r>
    </w:p>
    <w:tbl>
      <w:tblPr>
        <w:tblStyle w:val="4"/>
        <w:tblW w:w="5000" w:type="pct"/>
        <w:tblInd w:w="0" w:type="dxa"/>
        <w:tblLayout w:type="autofit"/>
        <w:tblCellMar>
          <w:top w:w="0" w:type="dxa"/>
          <w:left w:w="108" w:type="dxa"/>
          <w:bottom w:w="0" w:type="dxa"/>
          <w:right w:w="108" w:type="dxa"/>
        </w:tblCellMar>
      </w:tblPr>
      <w:tblGrid>
        <w:gridCol w:w="331"/>
        <w:gridCol w:w="331"/>
        <w:gridCol w:w="331"/>
        <w:gridCol w:w="3956"/>
        <w:gridCol w:w="1464"/>
        <w:gridCol w:w="1464"/>
        <w:gridCol w:w="1464"/>
        <w:gridCol w:w="1464"/>
        <w:gridCol w:w="1465"/>
        <w:gridCol w:w="1465"/>
        <w:gridCol w:w="1617"/>
      </w:tblGrid>
      <w:tr>
        <w:tblPrEx>
          <w:tblCellMar>
            <w:top w:w="0" w:type="dxa"/>
            <w:left w:w="108" w:type="dxa"/>
            <w:bottom w:w="0" w:type="dxa"/>
            <w:right w:w="108" w:type="dxa"/>
          </w:tblCellMar>
        </w:tblPrEx>
        <w:trPr>
          <w:trHeight w:val="255" w:hRule="atLeast"/>
        </w:trPr>
        <w:tc>
          <w:tcPr>
            <w:tcW w:w="97"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97"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97"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122"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公开02表</w:t>
            </w:r>
          </w:p>
        </w:tc>
      </w:tr>
      <w:tr>
        <w:tblPrEx>
          <w:tblCellMar>
            <w:top w:w="0" w:type="dxa"/>
            <w:left w:w="108" w:type="dxa"/>
            <w:bottom w:w="0" w:type="dxa"/>
            <w:right w:w="108" w:type="dxa"/>
          </w:tblCellMar>
        </w:tblPrEx>
        <w:trPr>
          <w:trHeight w:val="255" w:hRule="atLeast"/>
        </w:trPr>
        <w:tc>
          <w:tcPr>
            <w:tcW w:w="1412" w:type="pct"/>
            <w:gridSpan w:val="4"/>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部门：广西壮族自治区人力资源和社会保障宣传中心</w:t>
            </w: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1412"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513"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本年收入合计</w:t>
            </w:r>
          </w:p>
        </w:tc>
        <w:tc>
          <w:tcPr>
            <w:tcW w:w="513"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财政拨款收入</w:t>
            </w:r>
          </w:p>
        </w:tc>
        <w:tc>
          <w:tcPr>
            <w:tcW w:w="513"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上级补助收入</w:t>
            </w:r>
          </w:p>
        </w:tc>
        <w:tc>
          <w:tcPr>
            <w:tcW w:w="513"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事业收入</w:t>
            </w:r>
          </w:p>
        </w:tc>
        <w:tc>
          <w:tcPr>
            <w:tcW w:w="513"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经营收入</w:t>
            </w:r>
          </w:p>
        </w:tc>
        <w:tc>
          <w:tcPr>
            <w:tcW w:w="513"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附属单位上缴收入</w:t>
            </w:r>
          </w:p>
        </w:tc>
        <w:tc>
          <w:tcPr>
            <w:tcW w:w="513"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其他收入</w:t>
            </w:r>
          </w:p>
        </w:tc>
      </w:tr>
      <w:tr>
        <w:tblPrEx>
          <w:tblCellMar>
            <w:top w:w="0" w:type="dxa"/>
            <w:left w:w="108" w:type="dxa"/>
            <w:bottom w:w="0" w:type="dxa"/>
            <w:right w:w="108" w:type="dxa"/>
          </w:tblCellMar>
        </w:tblPrEx>
        <w:trPr>
          <w:trHeight w:val="312" w:hRule="atLeast"/>
        </w:trPr>
        <w:tc>
          <w:tcPr>
            <w:tcW w:w="290"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1122"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290"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122"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290"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122"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1412"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513"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513"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513"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513"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513"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513"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513"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r>
      <w:tr>
        <w:tblPrEx>
          <w:tblCellMar>
            <w:top w:w="0" w:type="dxa"/>
            <w:left w:w="108" w:type="dxa"/>
            <w:bottom w:w="0" w:type="dxa"/>
            <w:right w:w="108" w:type="dxa"/>
          </w:tblCellMar>
        </w:tblPrEx>
        <w:trPr>
          <w:trHeight w:val="308" w:hRule="atLeast"/>
        </w:trPr>
        <w:tc>
          <w:tcPr>
            <w:tcW w:w="1412"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343.30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343.26</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0.04</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一般公共服务支出</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308.85</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308.81</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0.04</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人力资源事务</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308.85</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308.81</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0.04</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2011050</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事业运行</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308.85</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308.81</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0.04</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社会保障和就业支出</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19.13</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19.13</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行政事业单位养老支出</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19.13</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19.13</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2080505</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机关事业单位基本养老保险缴费支出</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12.75</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12.75</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2080506</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机关事业单位职业年金缴费支出</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6.39</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6.39</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卫生健康支出</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21011</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行政事业单位医疗</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2101102</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事业单位医疗</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住房保障支出</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22102</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住房改革支出</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2210201</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住房公积金</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5000" w:type="pct"/>
            <w:gridSpan w:val="11"/>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注：本表反映部门本年度取得的各项收入情况。</w:t>
            </w:r>
          </w:p>
        </w:tc>
      </w:tr>
    </w:tbl>
    <w:p>
      <w:pPr>
        <w:jc w:val="left"/>
        <w:rPr>
          <w:rFonts w:ascii="宋体" w:cs="宋体"/>
          <w:color w:val="000000"/>
          <w:kern w:val="0"/>
          <w:sz w:val="32"/>
          <w:szCs w:val="32"/>
        </w:rPr>
      </w:pPr>
    </w:p>
    <w:p>
      <w:pPr>
        <w:rPr>
          <w:rFonts w:ascii="黑体" w:hAnsi="黑体" w:eastAsia="黑体" w:cs="宋体"/>
          <w:color w:val="000000"/>
          <w:kern w:val="0"/>
          <w:sz w:val="32"/>
          <w:szCs w:val="32"/>
        </w:rPr>
      </w:pPr>
    </w:p>
    <w:p>
      <w:pPr>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color w:val="000000"/>
          <w:kern w:val="0"/>
          <w:sz w:val="32"/>
          <w:szCs w:val="32"/>
        </w:rPr>
        <w:t>表三：支出决算表</w:t>
      </w:r>
    </w:p>
    <w:p>
      <w:pPr>
        <w:jc w:val="center"/>
        <w:rPr>
          <w:rFonts w:ascii="宋体" w:cs="宋体"/>
          <w:color w:val="000000"/>
          <w:kern w:val="0"/>
          <w:sz w:val="32"/>
          <w:szCs w:val="32"/>
        </w:rPr>
      </w:pPr>
      <w:r>
        <w:rPr>
          <w:rFonts w:hint="eastAsia" w:ascii="宋体" w:cs="宋体"/>
          <w:color w:val="000000"/>
          <w:kern w:val="0"/>
          <w:sz w:val="32"/>
          <w:szCs w:val="32"/>
        </w:rPr>
        <w:t>支出决算表</w:t>
      </w:r>
    </w:p>
    <w:tbl>
      <w:tblPr>
        <w:tblStyle w:val="4"/>
        <w:tblW w:w="5000" w:type="pct"/>
        <w:tblInd w:w="0" w:type="dxa"/>
        <w:tblLayout w:type="autofit"/>
        <w:tblCellMar>
          <w:top w:w="0" w:type="dxa"/>
          <w:left w:w="108" w:type="dxa"/>
          <w:bottom w:w="0" w:type="dxa"/>
          <w:right w:w="108" w:type="dxa"/>
        </w:tblCellMar>
      </w:tblPr>
      <w:tblGrid>
        <w:gridCol w:w="328"/>
        <w:gridCol w:w="328"/>
        <w:gridCol w:w="329"/>
        <w:gridCol w:w="3953"/>
        <w:gridCol w:w="1736"/>
        <w:gridCol w:w="1736"/>
        <w:gridCol w:w="1736"/>
        <w:gridCol w:w="1736"/>
        <w:gridCol w:w="1736"/>
        <w:gridCol w:w="1734"/>
      </w:tblGrid>
      <w:tr>
        <w:tblPrEx>
          <w:tblCellMar>
            <w:top w:w="0" w:type="dxa"/>
            <w:left w:w="108" w:type="dxa"/>
            <w:bottom w:w="0" w:type="dxa"/>
            <w:right w:w="108" w:type="dxa"/>
          </w:tblCellMar>
        </w:tblPrEx>
        <w:trPr>
          <w:trHeight w:val="255" w:hRule="atLeast"/>
        </w:trPr>
        <w:tc>
          <w:tcPr>
            <w:tcW w:w="10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0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0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25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公开03表</w:t>
            </w:r>
          </w:p>
        </w:tc>
      </w:tr>
      <w:tr>
        <w:tblPrEx>
          <w:tblCellMar>
            <w:top w:w="0" w:type="dxa"/>
            <w:left w:w="108" w:type="dxa"/>
            <w:bottom w:w="0" w:type="dxa"/>
            <w:right w:w="108" w:type="dxa"/>
          </w:tblCellMar>
        </w:tblPrEx>
        <w:trPr>
          <w:trHeight w:val="255" w:hRule="atLeast"/>
        </w:trPr>
        <w:tc>
          <w:tcPr>
            <w:tcW w:w="1574" w:type="pct"/>
            <w:gridSpan w:val="4"/>
            <w:tcBorders>
              <w:top w:val="nil"/>
              <w:left w:val="nil"/>
              <w:bottom w:val="nil"/>
              <w:right w:val="nil"/>
            </w:tcBorders>
            <w:shd w:val="clear" w:color="auto" w:fill="auto"/>
            <w:noWrap/>
            <w:vAlign w:val="bottom"/>
          </w:tcPr>
          <w:p>
            <w:pPr>
              <w:widowControl/>
              <w:ind w:right="-327" w:rightChars="-156"/>
              <w:rPr>
                <w:rFonts w:ascii="宋体" w:hAnsi="宋体" w:cs="Arial"/>
                <w:color w:val="000000"/>
                <w:kern w:val="0"/>
                <w:sz w:val="18"/>
                <w:szCs w:val="18"/>
              </w:rPr>
            </w:pPr>
            <w:r>
              <w:rPr>
                <w:rFonts w:hint="eastAsia" w:ascii="宋体" w:hAnsi="宋体" w:cs="Arial"/>
                <w:color w:val="000000"/>
                <w:kern w:val="0"/>
                <w:sz w:val="18"/>
                <w:szCs w:val="18"/>
              </w:rPr>
              <w:t>部门：广西壮族自治区人力资源和社会保障宣传中心</w:t>
            </w:r>
          </w:p>
        </w:tc>
        <w:tc>
          <w:tcPr>
            <w:tcW w:w="571" w:type="pct"/>
            <w:tcBorders>
              <w:top w:val="nil"/>
              <w:left w:val="nil"/>
              <w:bottom w:val="nil"/>
              <w:right w:val="nil"/>
            </w:tcBorders>
            <w:shd w:val="clear" w:color="auto" w:fill="auto"/>
            <w:noWrap/>
            <w:vAlign w:val="bottom"/>
          </w:tcPr>
          <w:p>
            <w:pPr>
              <w:widowControl/>
              <w:ind w:firstLine="538" w:firstLineChars="269"/>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1574"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本年支出合计</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上缴上级支出</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经营支出</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对附属单位补助支出</w:t>
            </w:r>
          </w:p>
        </w:tc>
      </w:tr>
      <w:tr>
        <w:tblPrEx>
          <w:tblCellMar>
            <w:top w:w="0" w:type="dxa"/>
            <w:left w:w="108" w:type="dxa"/>
            <w:bottom w:w="0" w:type="dxa"/>
            <w:right w:w="108" w:type="dxa"/>
          </w:tblCellMar>
        </w:tblPrEx>
        <w:trPr>
          <w:trHeight w:val="312" w:hRule="atLeast"/>
        </w:trPr>
        <w:tc>
          <w:tcPr>
            <w:tcW w:w="324"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1250"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324"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250"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324"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250"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1574"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tblPrEx>
          <w:tblCellMar>
            <w:top w:w="0" w:type="dxa"/>
            <w:left w:w="108" w:type="dxa"/>
            <w:bottom w:w="0" w:type="dxa"/>
            <w:right w:w="108" w:type="dxa"/>
          </w:tblCellMar>
        </w:tblPrEx>
        <w:trPr>
          <w:trHeight w:val="308" w:hRule="atLeast"/>
        </w:trPr>
        <w:tc>
          <w:tcPr>
            <w:tcW w:w="1574"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343.28</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142.77</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200.51</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一般公共服务支出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308.83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108.32</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200.51</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人力资源事务</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308.83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108.32</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200.51</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2011050</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事业运行</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308.83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108.32</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200.51</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社会保障和就业支出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19.13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19.13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行政事业单位养老支出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19.13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19.13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2080505</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机关事业单位基本养老保险缴费支出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12.75</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12.75</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2080506</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机关事业单位职业年金缴费支出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6.39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6.39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卫生健康支出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21011</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行政事业单位医疗</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2101102</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事业单位医疗</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住房保障支出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22102</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住房改革支出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2210201</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住房公积金</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注：本表反映部门本年度各项支出情况。</w:t>
            </w:r>
          </w:p>
          <w:p>
            <w:pPr>
              <w:widowControl/>
              <w:jc w:val="left"/>
              <w:rPr>
                <w:rFonts w:ascii="宋体" w:hAnsi="宋体" w:cs="Arial"/>
                <w:color w:val="000000"/>
                <w:kern w:val="0"/>
                <w:sz w:val="22"/>
                <w:szCs w:val="22"/>
              </w:rPr>
            </w:pPr>
          </w:p>
          <w:p>
            <w:pPr>
              <w:rPr>
                <w:rFonts w:ascii="黑体" w:hAnsi="黑体" w:eastAsia="黑体" w:cs="宋体"/>
                <w:color w:val="000000"/>
                <w:kern w:val="0"/>
                <w:sz w:val="32"/>
                <w:szCs w:val="32"/>
              </w:rPr>
            </w:pPr>
          </w:p>
          <w:p>
            <w:pPr>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color w:val="000000"/>
                <w:kern w:val="0"/>
                <w:sz w:val="32"/>
                <w:szCs w:val="32"/>
              </w:rPr>
              <w:t>表四：财政拨款收入支出决算总表</w:t>
            </w:r>
          </w:p>
          <w:p>
            <w:pPr>
              <w:jc w:val="center"/>
              <w:rPr>
                <w:rFonts w:ascii="宋体" w:cs="宋体"/>
                <w:color w:val="000000"/>
                <w:kern w:val="0"/>
                <w:sz w:val="32"/>
                <w:szCs w:val="32"/>
              </w:rPr>
            </w:pPr>
            <w:r>
              <w:rPr>
                <w:rFonts w:hint="eastAsia" w:ascii="宋体" w:cs="宋体"/>
                <w:color w:val="000000"/>
                <w:kern w:val="0"/>
                <w:sz w:val="32"/>
                <w:szCs w:val="32"/>
              </w:rPr>
              <w:t>财政拨款收入支出决算总表</w:t>
            </w:r>
          </w:p>
          <w:tbl>
            <w:tblPr>
              <w:tblStyle w:val="4"/>
              <w:tblW w:w="14131" w:type="dxa"/>
              <w:tblInd w:w="0" w:type="dxa"/>
              <w:tblLayout w:type="autofit"/>
              <w:tblCellMar>
                <w:top w:w="0" w:type="dxa"/>
                <w:left w:w="108" w:type="dxa"/>
                <w:bottom w:w="0" w:type="dxa"/>
                <w:right w:w="108" w:type="dxa"/>
              </w:tblCellMar>
            </w:tblPr>
            <w:tblGrid>
              <w:gridCol w:w="3097"/>
              <w:gridCol w:w="645"/>
              <w:gridCol w:w="987"/>
              <w:gridCol w:w="3516"/>
              <w:gridCol w:w="645"/>
              <w:gridCol w:w="1049"/>
              <w:gridCol w:w="1982"/>
              <w:gridCol w:w="1596"/>
              <w:gridCol w:w="1476"/>
            </w:tblGrid>
            <w:tr>
              <w:tblPrEx>
                <w:tblCellMar>
                  <w:top w:w="0" w:type="dxa"/>
                  <w:left w:w="108" w:type="dxa"/>
                  <w:bottom w:w="0" w:type="dxa"/>
                  <w:right w:w="108" w:type="dxa"/>
                </w:tblCellMar>
              </w:tblPrEx>
              <w:trPr>
                <w:trHeight w:val="255" w:hRule="atLeast"/>
              </w:trPr>
              <w:tc>
                <w:tcPr>
                  <w:tcW w:w="1042"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17"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32"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149"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17"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5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667"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37"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486"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公开04表</w:t>
                  </w:r>
                </w:p>
              </w:tc>
            </w:tr>
            <w:tr>
              <w:tblPrEx>
                <w:tblCellMar>
                  <w:top w:w="0" w:type="dxa"/>
                  <w:left w:w="108" w:type="dxa"/>
                  <w:bottom w:w="0" w:type="dxa"/>
                  <w:right w:w="108" w:type="dxa"/>
                </w:tblCellMar>
              </w:tblPrEx>
              <w:trPr>
                <w:trHeight w:val="255" w:hRule="atLeast"/>
              </w:trPr>
              <w:tc>
                <w:tcPr>
                  <w:tcW w:w="1591" w:type="pct"/>
                  <w:gridSpan w:val="3"/>
                  <w:tcBorders>
                    <w:top w:val="nil"/>
                    <w:left w:val="nil"/>
                    <w:bottom w:val="nil"/>
                    <w:right w:val="nil"/>
                  </w:tcBorders>
                  <w:shd w:val="clear" w:color="auto" w:fill="auto"/>
                  <w:noWrap/>
                  <w:vAlign w:val="bottom"/>
                </w:tcPr>
                <w:p>
                  <w:pPr>
                    <w:widowControl/>
                    <w:jc w:val="left"/>
                    <w:rPr>
                      <w:rFonts w:ascii="宋体" w:hAnsi="宋体" w:cs="Arial"/>
                      <w:color w:val="000000"/>
                      <w:kern w:val="0"/>
                      <w:sz w:val="18"/>
                      <w:szCs w:val="18"/>
                    </w:rPr>
                  </w:pPr>
                  <w:r>
                    <w:rPr>
                      <w:rFonts w:hint="eastAsia" w:ascii="宋体" w:hAnsi="宋体" w:cs="Arial"/>
                      <w:color w:val="000000"/>
                      <w:kern w:val="0"/>
                      <w:sz w:val="18"/>
                      <w:szCs w:val="18"/>
                    </w:rPr>
                    <w:t>部门：广西壮族自治区人力资源和社会保障宣传中心</w:t>
                  </w:r>
                </w:p>
              </w:tc>
              <w:tc>
                <w:tcPr>
                  <w:tcW w:w="1149" w:type="pct"/>
                  <w:tcBorders>
                    <w:top w:val="nil"/>
                    <w:left w:val="nil"/>
                    <w:bottom w:val="nil"/>
                    <w:right w:val="nil"/>
                  </w:tcBorders>
                  <w:shd w:val="clear" w:color="auto" w:fill="auto"/>
                  <w:noWrap/>
                  <w:vAlign w:val="bottom"/>
                </w:tcPr>
                <w:p>
                  <w:pPr>
                    <w:widowControl/>
                    <w:ind w:firstLine="374" w:firstLineChars="208"/>
                    <w:jc w:val="left"/>
                    <w:rPr>
                      <w:rFonts w:ascii="Arial" w:hAnsi="Arial" w:cs="Arial"/>
                      <w:color w:val="000000"/>
                      <w:kern w:val="0"/>
                      <w:sz w:val="18"/>
                      <w:szCs w:val="18"/>
                    </w:rPr>
                  </w:pPr>
                </w:p>
              </w:tc>
              <w:tc>
                <w:tcPr>
                  <w:tcW w:w="217" w:type="pct"/>
                  <w:tcBorders>
                    <w:top w:val="nil"/>
                    <w:left w:val="nil"/>
                    <w:bottom w:val="nil"/>
                    <w:right w:val="nil"/>
                  </w:tcBorders>
                  <w:shd w:val="clear" w:color="auto" w:fill="auto"/>
                  <w:noWrap/>
                  <w:vAlign w:val="bottom"/>
                </w:tcPr>
                <w:p>
                  <w:pPr>
                    <w:widowControl/>
                    <w:jc w:val="left"/>
                    <w:rPr>
                      <w:rFonts w:ascii="Arial" w:hAnsi="Arial" w:cs="Arial"/>
                      <w:color w:val="000000"/>
                      <w:kern w:val="0"/>
                      <w:sz w:val="18"/>
                      <w:szCs w:val="18"/>
                    </w:rPr>
                  </w:pPr>
                </w:p>
              </w:tc>
              <w:tc>
                <w:tcPr>
                  <w:tcW w:w="353" w:type="pct"/>
                  <w:tcBorders>
                    <w:top w:val="nil"/>
                    <w:left w:val="nil"/>
                    <w:bottom w:val="nil"/>
                    <w:right w:val="nil"/>
                  </w:tcBorders>
                  <w:shd w:val="clear" w:color="auto" w:fill="auto"/>
                  <w:noWrap/>
                  <w:vAlign w:val="bottom"/>
                </w:tcPr>
                <w:p>
                  <w:pPr>
                    <w:widowControl/>
                    <w:jc w:val="left"/>
                    <w:rPr>
                      <w:rFonts w:ascii="Arial" w:hAnsi="Arial" w:cs="Arial"/>
                      <w:color w:val="000000"/>
                      <w:kern w:val="0"/>
                      <w:sz w:val="18"/>
                      <w:szCs w:val="18"/>
                    </w:rPr>
                  </w:pPr>
                </w:p>
              </w:tc>
              <w:tc>
                <w:tcPr>
                  <w:tcW w:w="667" w:type="pct"/>
                  <w:tcBorders>
                    <w:top w:val="nil"/>
                    <w:left w:val="nil"/>
                    <w:bottom w:val="nil"/>
                    <w:right w:val="nil"/>
                  </w:tcBorders>
                  <w:shd w:val="clear" w:color="auto" w:fill="auto"/>
                  <w:noWrap/>
                  <w:vAlign w:val="bottom"/>
                </w:tcPr>
                <w:p>
                  <w:pPr>
                    <w:widowControl/>
                    <w:jc w:val="left"/>
                    <w:rPr>
                      <w:rFonts w:ascii="Arial" w:hAnsi="Arial" w:cs="Arial"/>
                      <w:color w:val="000000"/>
                      <w:kern w:val="0"/>
                      <w:sz w:val="18"/>
                      <w:szCs w:val="18"/>
                    </w:rPr>
                  </w:pPr>
                </w:p>
              </w:tc>
              <w:tc>
                <w:tcPr>
                  <w:tcW w:w="537" w:type="pct"/>
                  <w:tcBorders>
                    <w:top w:val="nil"/>
                    <w:left w:val="nil"/>
                    <w:bottom w:val="nil"/>
                    <w:right w:val="nil"/>
                  </w:tcBorders>
                  <w:shd w:val="clear" w:color="auto" w:fill="auto"/>
                  <w:noWrap/>
                  <w:vAlign w:val="bottom"/>
                </w:tcPr>
                <w:p>
                  <w:pPr>
                    <w:widowControl/>
                    <w:jc w:val="left"/>
                    <w:rPr>
                      <w:rFonts w:ascii="Arial" w:hAnsi="Arial" w:cs="Arial"/>
                      <w:color w:val="000000"/>
                      <w:kern w:val="0"/>
                      <w:sz w:val="18"/>
                      <w:szCs w:val="18"/>
                    </w:rPr>
                  </w:pPr>
                </w:p>
              </w:tc>
              <w:tc>
                <w:tcPr>
                  <w:tcW w:w="486"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18"/>
                      <w:szCs w:val="18"/>
                    </w:rPr>
                  </w:pPr>
                  <w:r>
                    <w:rPr>
                      <w:rFonts w:hint="eastAsia" w:ascii="宋体" w:hAnsi="宋体" w:cs="Arial"/>
                      <w:color w:val="000000"/>
                      <w:kern w:val="0"/>
                      <w:sz w:val="18"/>
                      <w:szCs w:val="18"/>
                    </w:rPr>
                    <w:t>金额单位：万元</w:t>
                  </w:r>
                </w:p>
              </w:tc>
            </w:tr>
            <w:tr>
              <w:tblPrEx>
                <w:tblCellMar>
                  <w:top w:w="0" w:type="dxa"/>
                  <w:left w:w="108" w:type="dxa"/>
                  <w:bottom w:w="0" w:type="dxa"/>
                  <w:right w:w="108" w:type="dxa"/>
                </w:tblCellMar>
              </w:tblPrEx>
              <w:trPr>
                <w:trHeight w:val="308" w:hRule="atLeast"/>
              </w:trPr>
              <w:tc>
                <w:tcPr>
                  <w:tcW w:w="1591"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收     入</w:t>
                  </w:r>
                </w:p>
              </w:tc>
              <w:tc>
                <w:tcPr>
                  <w:tcW w:w="3409" w:type="pct"/>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支     出</w:t>
                  </w:r>
                </w:p>
              </w:tc>
            </w:tr>
            <w:tr>
              <w:tblPrEx>
                <w:tblCellMar>
                  <w:top w:w="0" w:type="dxa"/>
                  <w:left w:w="108" w:type="dxa"/>
                  <w:bottom w:w="0" w:type="dxa"/>
                  <w:right w:w="108" w:type="dxa"/>
                </w:tblCellMar>
              </w:tblPrEx>
              <w:trPr>
                <w:trHeight w:val="312" w:hRule="atLeast"/>
              </w:trPr>
              <w:tc>
                <w:tcPr>
                  <w:tcW w:w="1042" w:type="pct"/>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217"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行次</w:t>
                  </w:r>
                </w:p>
              </w:tc>
              <w:tc>
                <w:tcPr>
                  <w:tcW w:w="332"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金额</w:t>
                  </w:r>
                </w:p>
              </w:tc>
              <w:tc>
                <w:tcPr>
                  <w:tcW w:w="1149"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217"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行次</w:t>
                  </w:r>
                </w:p>
              </w:tc>
              <w:tc>
                <w:tcPr>
                  <w:tcW w:w="353"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667"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一般公共预算财政拨款</w:t>
                  </w:r>
                </w:p>
              </w:tc>
              <w:tc>
                <w:tcPr>
                  <w:tcW w:w="537"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政府性基金预算财政拨款</w:t>
                  </w:r>
                </w:p>
              </w:tc>
              <w:tc>
                <w:tcPr>
                  <w:tcW w:w="486"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国有资本经营预算财政拨款</w:t>
                  </w:r>
                </w:p>
              </w:tc>
            </w:tr>
            <w:tr>
              <w:tblPrEx>
                <w:tblCellMar>
                  <w:top w:w="0" w:type="dxa"/>
                  <w:left w:w="108" w:type="dxa"/>
                  <w:bottom w:w="0" w:type="dxa"/>
                  <w:right w:w="108" w:type="dxa"/>
                </w:tblCellMar>
              </w:tblPrEx>
              <w:trPr>
                <w:trHeight w:val="615" w:hRule="atLeast"/>
              </w:trPr>
              <w:tc>
                <w:tcPr>
                  <w:tcW w:w="1042"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17"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32"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149"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17"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53"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667"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37"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486"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　</w:t>
                  </w:r>
                </w:p>
              </w:tc>
              <w:tc>
                <w:tcPr>
                  <w:tcW w:w="332"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　</w:t>
                  </w:r>
                </w:p>
              </w:tc>
              <w:tc>
                <w:tcPr>
                  <w:tcW w:w="353"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6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53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48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一、一般公共预算财政拨款</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343.26</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一、一般公共服务支出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33</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308.81</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308.81</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二、政府性基金预算财政拨款</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二、外交支出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34</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三、国有资本经营财政拨款</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三、国防支出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35</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四、公共安全支出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36</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五、教育支出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37</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六、科学技术支出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38</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七、文化旅游体育与传媒支出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39</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8</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八、社会保障和就业支出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40</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19.13</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19.13</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9</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九、卫生健康支出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41</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10</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十、节能环保支出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42</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11</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十一、城乡社区支出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43</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12</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十二、农林水支出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44</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13</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十三、交通运输支出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45</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14</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十四、资源勘探工业信息等支出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46</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15</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十五、商业服务业等支出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47</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16</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十六、金融支出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48</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17</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十七、援助其他地区支出</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49</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auto"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auto"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18</w:t>
                  </w:r>
                </w:p>
              </w:tc>
              <w:tc>
                <w:tcPr>
                  <w:tcW w:w="332" w:type="pct"/>
                  <w:tcBorders>
                    <w:top w:val="nil"/>
                    <w:left w:val="nil"/>
                    <w:bottom w:val="single" w:color="auto"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nil"/>
                    <w:left w:val="nil"/>
                    <w:bottom w:val="single" w:color="auto"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十八、自然资源海洋气象等支出</w:t>
                  </w:r>
                </w:p>
              </w:tc>
              <w:tc>
                <w:tcPr>
                  <w:tcW w:w="217" w:type="pct"/>
                  <w:tcBorders>
                    <w:top w:val="nil"/>
                    <w:left w:val="nil"/>
                    <w:bottom w:val="single" w:color="auto"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50</w:t>
                  </w:r>
                </w:p>
              </w:tc>
              <w:tc>
                <w:tcPr>
                  <w:tcW w:w="353" w:type="pct"/>
                  <w:tcBorders>
                    <w:top w:val="nil"/>
                    <w:left w:val="nil"/>
                    <w:bottom w:val="single" w:color="auto"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nil"/>
                    <w:left w:val="nil"/>
                    <w:bottom w:val="single" w:color="auto"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nil"/>
                    <w:left w:val="nil"/>
                    <w:bottom w:val="single" w:color="auto"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auto"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19</w:t>
                  </w:r>
                </w:p>
              </w:tc>
              <w:tc>
                <w:tcPr>
                  <w:tcW w:w="33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十九、住房保障支出</w:t>
                  </w:r>
                </w:p>
              </w:tc>
              <w:tc>
                <w:tcPr>
                  <w:tcW w:w="217"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51</w:t>
                  </w:r>
                </w:p>
              </w:tc>
              <w:tc>
                <w:tcPr>
                  <w:tcW w:w="35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6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53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20</w:t>
                  </w:r>
                </w:p>
              </w:tc>
              <w:tc>
                <w:tcPr>
                  <w:tcW w:w="33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二十、粮油物资储备支出</w:t>
                  </w:r>
                </w:p>
              </w:tc>
              <w:tc>
                <w:tcPr>
                  <w:tcW w:w="217"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52</w:t>
                  </w:r>
                </w:p>
              </w:tc>
              <w:tc>
                <w:tcPr>
                  <w:tcW w:w="35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21</w:t>
                  </w:r>
                </w:p>
              </w:tc>
              <w:tc>
                <w:tcPr>
                  <w:tcW w:w="33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二十一、国有资本经营预算支出</w:t>
                  </w:r>
                </w:p>
              </w:tc>
              <w:tc>
                <w:tcPr>
                  <w:tcW w:w="217"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53</w:t>
                  </w:r>
                </w:p>
              </w:tc>
              <w:tc>
                <w:tcPr>
                  <w:tcW w:w="35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22</w:t>
                  </w:r>
                </w:p>
              </w:tc>
              <w:tc>
                <w:tcPr>
                  <w:tcW w:w="33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二十二、灾害防治及应急管理支出</w:t>
                  </w:r>
                </w:p>
              </w:tc>
              <w:tc>
                <w:tcPr>
                  <w:tcW w:w="217"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54</w:t>
                  </w:r>
                </w:p>
              </w:tc>
              <w:tc>
                <w:tcPr>
                  <w:tcW w:w="35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23</w:t>
                  </w:r>
                </w:p>
              </w:tc>
              <w:tc>
                <w:tcPr>
                  <w:tcW w:w="33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二十三、其他支出</w:t>
                  </w:r>
                </w:p>
              </w:tc>
              <w:tc>
                <w:tcPr>
                  <w:tcW w:w="217"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55</w:t>
                  </w:r>
                </w:p>
              </w:tc>
              <w:tc>
                <w:tcPr>
                  <w:tcW w:w="35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b/>
                      <w:bCs/>
                      <w:color w:val="000000"/>
                      <w:kern w:val="0"/>
                      <w:sz w:val="20"/>
                      <w:szCs w:val="20"/>
                    </w:rPr>
                  </w:pPr>
                  <w:r>
                    <w:rPr>
                      <w:rFonts w:hint="eastAsia" w:ascii="宋体" w:hAnsi="宋体" w:cs="Arial"/>
                      <w:b/>
                      <w:bCs/>
                      <w:color w:val="000000"/>
                      <w:kern w:val="0"/>
                      <w:sz w:val="20"/>
                      <w:szCs w:val="20"/>
                    </w:rPr>
                    <w:t>　</w:t>
                  </w:r>
                </w:p>
              </w:tc>
              <w:tc>
                <w:tcPr>
                  <w:tcW w:w="217"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24</w:t>
                  </w:r>
                </w:p>
              </w:tc>
              <w:tc>
                <w:tcPr>
                  <w:tcW w:w="33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二十四、债务还本支出</w:t>
                  </w:r>
                </w:p>
              </w:tc>
              <w:tc>
                <w:tcPr>
                  <w:tcW w:w="217"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56</w:t>
                  </w:r>
                </w:p>
              </w:tc>
              <w:tc>
                <w:tcPr>
                  <w:tcW w:w="35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217"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25</w:t>
                  </w:r>
                </w:p>
              </w:tc>
              <w:tc>
                <w:tcPr>
                  <w:tcW w:w="33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二十五、债务付息支出</w:t>
                  </w:r>
                </w:p>
              </w:tc>
              <w:tc>
                <w:tcPr>
                  <w:tcW w:w="217"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57</w:t>
                  </w:r>
                </w:p>
              </w:tc>
              <w:tc>
                <w:tcPr>
                  <w:tcW w:w="35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single" w:color="auto" w:sz="4" w:space="0"/>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217" w:type="pct"/>
                  <w:tcBorders>
                    <w:top w:val="single" w:color="auto" w:sz="4" w:space="0"/>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26</w:t>
                  </w:r>
                </w:p>
              </w:tc>
              <w:tc>
                <w:tcPr>
                  <w:tcW w:w="332" w:type="pct"/>
                  <w:tcBorders>
                    <w:top w:val="single" w:color="auto" w:sz="4" w:space="0"/>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49" w:type="pct"/>
                  <w:tcBorders>
                    <w:top w:val="single" w:color="auto" w:sz="4" w:space="0"/>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二十六、抗疫特别国债安排的支出</w:t>
                  </w:r>
                </w:p>
              </w:tc>
              <w:tc>
                <w:tcPr>
                  <w:tcW w:w="217" w:type="pct"/>
                  <w:tcBorders>
                    <w:top w:val="single" w:color="auto" w:sz="4" w:space="0"/>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58</w:t>
                  </w:r>
                </w:p>
              </w:tc>
              <w:tc>
                <w:tcPr>
                  <w:tcW w:w="353" w:type="pct"/>
                  <w:tcBorders>
                    <w:top w:val="single" w:color="auto" w:sz="4" w:space="0"/>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single" w:color="auto" w:sz="4" w:space="0"/>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single" w:color="auto" w:sz="4" w:space="0"/>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single" w:color="auto" w:sz="4" w:space="0"/>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本年收入合计</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27</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343.26</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本年支出合计</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59</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343.26</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343.26</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年初财政拨款结转和结余</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28</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年末财政拨款结转和结余</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60</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一般公共预算财政拨款</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29</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61</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政府性基金预算财政拨款</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30</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62</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国有资本经营预算财政拨款</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31</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63</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04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总计</w:t>
                  </w:r>
                </w:p>
              </w:tc>
              <w:tc>
                <w:tcPr>
                  <w:tcW w:w="217" w:type="pct"/>
                  <w:tcBorders>
                    <w:top w:val="nil"/>
                    <w:left w:val="nil"/>
                    <w:bottom w:val="single" w:color="000000" w:sz="8"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32</w:t>
                  </w:r>
                </w:p>
              </w:tc>
              <w:tc>
                <w:tcPr>
                  <w:tcW w:w="3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343.26</w:t>
                  </w:r>
                </w:p>
              </w:tc>
              <w:tc>
                <w:tcPr>
                  <w:tcW w:w="1149"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总计</w:t>
                  </w:r>
                </w:p>
              </w:tc>
              <w:tc>
                <w:tcPr>
                  <w:tcW w:w="21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64</w:t>
                  </w:r>
                </w:p>
              </w:tc>
              <w:tc>
                <w:tcPr>
                  <w:tcW w:w="3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343.26</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343.26</w:t>
                  </w:r>
                </w:p>
              </w:tc>
              <w:tc>
                <w:tcPr>
                  <w:tcW w:w="53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514" w:type="pct"/>
                  <w:gridSpan w:val="8"/>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注：本表反映部门本年度一般公共预算财政拨款、政府性基金预算财政拨款和国有资本经营预算财政拨款的总收支和年末结转结余情况。</w:t>
                  </w:r>
                </w:p>
              </w:tc>
              <w:tc>
                <w:tcPr>
                  <w:tcW w:w="486" w:type="pct"/>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p>
              </w:tc>
            </w:tr>
          </w:tbl>
          <w:p>
            <w:pPr>
              <w:widowControl/>
              <w:jc w:val="left"/>
              <w:rPr>
                <w:rFonts w:ascii="宋体" w:hAnsi="宋体" w:cs="Arial"/>
                <w:color w:val="000000"/>
                <w:kern w:val="0"/>
                <w:sz w:val="22"/>
                <w:szCs w:val="22"/>
              </w:rPr>
            </w:pPr>
          </w:p>
        </w:tc>
      </w:tr>
    </w:tbl>
    <w:p>
      <w:pPr>
        <w:jc w:val="left"/>
        <w:rPr>
          <w:rFonts w:ascii="仿宋_GB2312" w:eastAsia="仿宋_GB2312"/>
          <w:b/>
          <w:sz w:val="32"/>
          <w:szCs w:val="32"/>
        </w:rPr>
      </w:pPr>
    </w:p>
    <w:p>
      <w:pPr>
        <w:ind w:firstLine="646"/>
        <w:jc w:val="left"/>
        <w:rPr>
          <w:rFonts w:ascii="黑体" w:hAnsi="黑体" w:eastAsia="黑体"/>
          <w:b/>
          <w:sz w:val="44"/>
          <w:szCs w:val="44"/>
        </w:rPr>
      </w:pPr>
    </w:p>
    <w:p>
      <w:pPr>
        <w:rPr>
          <w:rFonts w:ascii="仿宋_GB2312" w:hAnsi="华文仿宋" w:eastAsia="仿宋_GB2312"/>
          <w:sz w:val="32"/>
          <w:szCs w:val="32"/>
        </w:rPr>
      </w:pPr>
    </w:p>
    <w:p>
      <w:pPr>
        <w:rPr>
          <w:rFonts w:ascii="黑体" w:hAnsi="黑体" w:eastAsia="黑体" w:cs="宋体"/>
          <w:color w:val="000000"/>
          <w:kern w:val="0"/>
          <w:sz w:val="32"/>
          <w:szCs w:val="32"/>
        </w:rPr>
      </w:pPr>
    </w:p>
    <w:p>
      <w:pPr>
        <w:rPr>
          <w:rFonts w:ascii="黑体" w:hAnsi="黑体" w:eastAsia="黑体" w:cs="宋体"/>
          <w:color w:val="000000"/>
          <w:kern w:val="0"/>
          <w:sz w:val="32"/>
          <w:szCs w:val="32"/>
        </w:rPr>
      </w:pPr>
    </w:p>
    <w:p>
      <w:pPr>
        <w:rPr>
          <w:rFonts w:ascii="黑体" w:hAnsi="黑体" w:eastAsia="黑体" w:cs="宋体"/>
          <w:color w:val="000000"/>
          <w:kern w:val="0"/>
          <w:sz w:val="32"/>
          <w:szCs w:val="32"/>
        </w:rPr>
      </w:pPr>
    </w:p>
    <w:p>
      <w:pPr>
        <w:rPr>
          <w:rFonts w:ascii="黑体" w:hAnsi="黑体" w:eastAsia="黑体" w:cs="宋体"/>
          <w:color w:val="000000"/>
          <w:kern w:val="0"/>
          <w:sz w:val="32"/>
          <w:szCs w:val="32"/>
        </w:rPr>
      </w:pPr>
    </w:p>
    <w:p>
      <w:pPr>
        <w:rPr>
          <w:rFonts w:ascii="黑体" w:hAnsi="黑体" w:eastAsia="黑体" w:cs="宋体"/>
          <w:color w:val="000000"/>
          <w:kern w:val="0"/>
          <w:sz w:val="32"/>
          <w:szCs w:val="32"/>
        </w:rPr>
      </w:pPr>
    </w:p>
    <w:p>
      <w:pPr>
        <w:rPr>
          <w:rFonts w:ascii="黑体" w:hAnsi="黑体" w:eastAsia="黑体" w:cs="宋体"/>
          <w:color w:val="000000"/>
          <w:kern w:val="0"/>
          <w:sz w:val="32"/>
          <w:szCs w:val="32"/>
        </w:rPr>
      </w:pPr>
    </w:p>
    <w:p>
      <w:pPr>
        <w:rPr>
          <w:rFonts w:ascii="黑体" w:hAnsi="黑体" w:eastAsia="黑体" w:cs="宋体"/>
          <w:color w:val="000000"/>
          <w:kern w:val="0"/>
          <w:sz w:val="32"/>
          <w:szCs w:val="32"/>
        </w:rPr>
      </w:pPr>
    </w:p>
    <w:p>
      <w:pPr>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color w:val="000000"/>
          <w:kern w:val="0"/>
          <w:sz w:val="32"/>
          <w:szCs w:val="32"/>
        </w:rPr>
        <w:t>表五：一般公共预算财政拨款支出决算表</w:t>
      </w:r>
    </w:p>
    <w:p>
      <w:pPr>
        <w:jc w:val="center"/>
        <w:rPr>
          <w:rFonts w:ascii="宋体" w:cs="宋体"/>
          <w:color w:val="000000"/>
          <w:kern w:val="0"/>
          <w:sz w:val="32"/>
          <w:szCs w:val="32"/>
        </w:rPr>
      </w:pPr>
      <w:r>
        <w:rPr>
          <w:rFonts w:hint="eastAsia" w:ascii="宋体" w:cs="宋体"/>
          <w:color w:val="000000"/>
          <w:kern w:val="0"/>
          <w:sz w:val="32"/>
          <w:szCs w:val="32"/>
        </w:rPr>
        <w:t>一般公共预算财政拨款支出决算表</w:t>
      </w:r>
    </w:p>
    <w:tbl>
      <w:tblPr>
        <w:tblStyle w:val="4"/>
        <w:tblW w:w="11740" w:type="dxa"/>
        <w:tblInd w:w="93" w:type="dxa"/>
        <w:tblLayout w:type="autofit"/>
        <w:tblCellMar>
          <w:top w:w="0" w:type="dxa"/>
          <w:left w:w="108" w:type="dxa"/>
          <w:bottom w:w="0" w:type="dxa"/>
          <w:right w:w="108" w:type="dxa"/>
        </w:tblCellMar>
      </w:tblPr>
      <w:tblGrid>
        <w:gridCol w:w="340"/>
        <w:gridCol w:w="340"/>
        <w:gridCol w:w="340"/>
        <w:gridCol w:w="3940"/>
        <w:gridCol w:w="2260"/>
        <w:gridCol w:w="2260"/>
        <w:gridCol w:w="2260"/>
      </w:tblGrid>
      <w:tr>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9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26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26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260"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公开05表</w:t>
            </w:r>
          </w:p>
        </w:tc>
      </w:tr>
      <w:tr>
        <w:tblPrEx>
          <w:tblCellMar>
            <w:top w:w="0" w:type="dxa"/>
            <w:left w:w="108" w:type="dxa"/>
            <w:bottom w:w="0" w:type="dxa"/>
            <w:right w:w="108" w:type="dxa"/>
          </w:tblCellMar>
        </w:tblPrEx>
        <w:trPr>
          <w:trHeight w:val="255" w:hRule="atLeast"/>
        </w:trPr>
        <w:tc>
          <w:tcPr>
            <w:tcW w:w="4960" w:type="dxa"/>
            <w:gridSpan w:val="4"/>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部门：广西壮族自治区人力资源和社会保障宣传中心</w:t>
            </w:r>
          </w:p>
        </w:tc>
        <w:tc>
          <w:tcPr>
            <w:tcW w:w="226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26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260"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4960"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6780"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r>
      <w:tr>
        <w:tblPrEx>
          <w:tblCellMar>
            <w:top w:w="0" w:type="dxa"/>
            <w:left w:w="108" w:type="dxa"/>
            <w:bottom w:w="0" w:type="dxa"/>
            <w:right w:w="108" w:type="dxa"/>
          </w:tblCellMar>
        </w:tblPrEx>
        <w:trPr>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3940"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226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226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226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94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94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4960"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226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226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226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r>
      <w:tr>
        <w:tblPrEx>
          <w:tblCellMar>
            <w:top w:w="0" w:type="dxa"/>
            <w:left w:w="108" w:type="dxa"/>
            <w:bottom w:w="0" w:type="dxa"/>
            <w:right w:w="108" w:type="dxa"/>
          </w:tblCellMar>
        </w:tblPrEx>
        <w:trPr>
          <w:trHeight w:val="308" w:hRule="atLeast"/>
        </w:trPr>
        <w:tc>
          <w:tcPr>
            <w:tcW w:w="4960"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343.26</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142.75</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200.51</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一般公共服务支出</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308.81</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108.30</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200.51</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人力资源事务</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308.81</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108.30</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200.51</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2011050</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事业运行</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308.81</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108.30</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200.51</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社会保障和就业支出</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19.13</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19.13</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行政事业单位养老支出</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19.13</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19.13</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2080505</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机关事业单位基本养老保险缴费支出</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12.75</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12.75</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2080506</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机关事业单位职业年金缴费支出</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6.39</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6.39</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卫生健康支出</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21011</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行政事业单位医疗</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2101102</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事业单位医疗</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住房保障支出</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22102</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住房改革支出</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2210201</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住房公积金</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1740" w:type="dxa"/>
            <w:gridSpan w:val="7"/>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注：本表反映部门本年度一般公共预算财政拨款支出情况。</w:t>
            </w:r>
          </w:p>
        </w:tc>
      </w:tr>
    </w:tbl>
    <w:p>
      <w:pPr>
        <w:rPr>
          <w:rFonts w:ascii="黑体" w:hAnsi="黑体" w:eastAsia="黑体" w:cs="宋体"/>
          <w:color w:val="000000"/>
          <w:kern w:val="0"/>
          <w:sz w:val="32"/>
          <w:szCs w:val="32"/>
        </w:rPr>
      </w:pPr>
    </w:p>
    <w:p>
      <w:pPr>
        <w:rPr>
          <w:rFonts w:ascii="黑体" w:hAnsi="黑体" w:eastAsia="黑体" w:cs="宋体"/>
          <w:color w:val="000000"/>
          <w:kern w:val="0"/>
          <w:sz w:val="32"/>
          <w:szCs w:val="32"/>
        </w:rPr>
      </w:pPr>
    </w:p>
    <w:p>
      <w:pPr>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color w:val="000000"/>
          <w:kern w:val="0"/>
          <w:sz w:val="32"/>
          <w:szCs w:val="32"/>
        </w:rPr>
        <w:t>表六：一般公共预算财政拨款基本支出决算表</w:t>
      </w:r>
    </w:p>
    <w:p>
      <w:pPr>
        <w:jc w:val="center"/>
        <w:rPr>
          <w:rFonts w:ascii="宋体" w:cs="宋体"/>
          <w:color w:val="000000"/>
          <w:kern w:val="0"/>
          <w:sz w:val="32"/>
          <w:szCs w:val="32"/>
        </w:rPr>
      </w:pPr>
      <w:r>
        <w:rPr>
          <w:rFonts w:hint="eastAsia" w:ascii="宋体" w:cs="宋体"/>
          <w:color w:val="000000"/>
          <w:kern w:val="0"/>
          <w:sz w:val="32"/>
          <w:szCs w:val="32"/>
        </w:rPr>
        <w:t>一般公共预算财政拨款基本支出决算表</w:t>
      </w:r>
    </w:p>
    <w:tbl>
      <w:tblPr>
        <w:tblStyle w:val="4"/>
        <w:tblW w:w="5000" w:type="pct"/>
        <w:tblInd w:w="0" w:type="dxa"/>
        <w:tblLayout w:type="autofit"/>
        <w:tblCellMar>
          <w:top w:w="0" w:type="dxa"/>
          <w:left w:w="108" w:type="dxa"/>
          <w:bottom w:w="0" w:type="dxa"/>
          <w:right w:w="108" w:type="dxa"/>
        </w:tblCellMar>
      </w:tblPr>
      <w:tblGrid>
        <w:gridCol w:w="759"/>
        <w:gridCol w:w="3474"/>
        <w:gridCol w:w="813"/>
        <w:gridCol w:w="759"/>
        <w:gridCol w:w="2388"/>
        <w:gridCol w:w="596"/>
        <w:gridCol w:w="759"/>
        <w:gridCol w:w="4343"/>
        <w:gridCol w:w="1461"/>
      </w:tblGrid>
      <w:tr>
        <w:tblPrEx>
          <w:tblCellMar>
            <w:top w:w="0" w:type="dxa"/>
            <w:left w:w="108" w:type="dxa"/>
            <w:bottom w:w="0" w:type="dxa"/>
            <w:right w:w="108" w:type="dxa"/>
          </w:tblCellMar>
        </w:tblPrEx>
        <w:trPr>
          <w:trHeight w:val="255" w:hRule="atLeast"/>
        </w:trPr>
        <w:tc>
          <w:tcPr>
            <w:tcW w:w="246"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12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8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46"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772"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1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46"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04"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472"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18"/>
                <w:szCs w:val="18"/>
              </w:rPr>
            </w:pPr>
            <w:r>
              <w:rPr>
                <w:rFonts w:hint="eastAsia" w:ascii="宋体" w:hAnsi="宋体" w:cs="Arial"/>
                <w:color w:val="000000"/>
                <w:kern w:val="0"/>
                <w:sz w:val="18"/>
                <w:szCs w:val="18"/>
              </w:rPr>
              <w:t>公开06表</w:t>
            </w:r>
          </w:p>
        </w:tc>
      </w:tr>
      <w:tr>
        <w:tblPrEx>
          <w:tblCellMar>
            <w:top w:w="0" w:type="dxa"/>
            <w:left w:w="108" w:type="dxa"/>
            <w:bottom w:w="0" w:type="dxa"/>
            <w:right w:w="108" w:type="dxa"/>
          </w:tblCellMar>
        </w:tblPrEx>
        <w:trPr>
          <w:trHeight w:val="255" w:hRule="atLeast"/>
        </w:trPr>
        <w:tc>
          <w:tcPr>
            <w:tcW w:w="1649" w:type="pct"/>
            <w:gridSpan w:val="3"/>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部门：广西壮族自治区人力资源和社会保障宣传中心</w:t>
            </w:r>
          </w:p>
        </w:tc>
        <w:tc>
          <w:tcPr>
            <w:tcW w:w="246"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772"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1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46"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04"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472"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18"/>
                <w:szCs w:val="18"/>
              </w:rPr>
            </w:pPr>
            <w:r>
              <w:rPr>
                <w:rFonts w:hint="eastAsia" w:ascii="宋体" w:hAnsi="宋体" w:cs="Arial"/>
                <w:color w:val="000000"/>
                <w:kern w:val="0"/>
                <w:sz w:val="18"/>
                <w:szCs w:val="18"/>
              </w:rPr>
              <w:t>金额单位：万元</w:t>
            </w:r>
          </w:p>
        </w:tc>
      </w:tr>
      <w:tr>
        <w:tblPrEx>
          <w:tblCellMar>
            <w:top w:w="0" w:type="dxa"/>
            <w:left w:w="108" w:type="dxa"/>
            <w:bottom w:w="0" w:type="dxa"/>
            <w:right w:w="108" w:type="dxa"/>
          </w:tblCellMar>
        </w:tblPrEx>
        <w:trPr>
          <w:trHeight w:val="308" w:hRule="atLeast"/>
        </w:trPr>
        <w:tc>
          <w:tcPr>
            <w:tcW w:w="1649"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人员经费</w:t>
            </w:r>
          </w:p>
        </w:tc>
        <w:tc>
          <w:tcPr>
            <w:tcW w:w="3351" w:type="pct"/>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公用经费</w:t>
            </w:r>
          </w:p>
        </w:tc>
      </w:tr>
      <w:tr>
        <w:tblPrEx>
          <w:tblCellMar>
            <w:top w:w="0" w:type="dxa"/>
            <w:left w:w="108" w:type="dxa"/>
            <w:bottom w:w="0" w:type="dxa"/>
            <w:right w:w="108" w:type="dxa"/>
          </w:tblCellMar>
        </w:tblPrEx>
        <w:trPr>
          <w:trHeight w:val="312" w:hRule="atLeast"/>
        </w:trPr>
        <w:tc>
          <w:tcPr>
            <w:tcW w:w="246" w:type="pct"/>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科目编码</w:t>
            </w:r>
          </w:p>
        </w:tc>
        <w:tc>
          <w:tcPr>
            <w:tcW w:w="1123"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281"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决算数</w:t>
            </w:r>
          </w:p>
        </w:tc>
        <w:tc>
          <w:tcPr>
            <w:tcW w:w="246"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科目编码</w:t>
            </w:r>
          </w:p>
        </w:tc>
        <w:tc>
          <w:tcPr>
            <w:tcW w:w="772"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211"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决算数</w:t>
            </w:r>
          </w:p>
        </w:tc>
        <w:tc>
          <w:tcPr>
            <w:tcW w:w="246"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科目编码</w:t>
            </w:r>
          </w:p>
        </w:tc>
        <w:tc>
          <w:tcPr>
            <w:tcW w:w="1404"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472"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决算数</w:t>
            </w:r>
          </w:p>
        </w:tc>
      </w:tr>
      <w:tr>
        <w:tblPrEx>
          <w:tblCellMar>
            <w:top w:w="0" w:type="dxa"/>
            <w:left w:w="108" w:type="dxa"/>
            <w:bottom w:w="0" w:type="dxa"/>
            <w:right w:w="108" w:type="dxa"/>
          </w:tblCellMar>
        </w:tblPrEx>
        <w:trPr>
          <w:trHeight w:val="312" w:hRule="atLeast"/>
        </w:trPr>
        <w:tc>
          <w:tcPr>
            <w:tcW w:w="246"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123"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81"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46"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772"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11"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46"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04"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472"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工资福利支出</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134.41</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商品和服务支出</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4.37</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307</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债务利息及费用支出</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30101</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基本工资</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32.74</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30201</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办公费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0.03</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30701</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国内债务付息</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30102</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津贴补贴</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1.52</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30202</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印刷费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30702</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国外债务付息</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30103</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奖金</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30203</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咨询费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资本性支出</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30106</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伙食补助费</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30204</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手续费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0.01</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31001</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房屋建筑物购建</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30107</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绩效工资</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65.22</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30205</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水费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31002</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办公设备购置</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30108</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机关事业单位基本养老保险缴费</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12.75</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30206</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电费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31003</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专用设备购置</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30109</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职业年金缴费</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6.39</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30207</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邮电费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31005</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基础设施建设</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30110</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职工基本医疗保险缴费</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5.86</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30208</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取暖费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31006</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大型修缮</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30111</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公务员医疗补助缴费</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30209</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物业管理费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31007</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信息网络及软件购置更新</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30112</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其他社会保障缴费</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0.48</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30211</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差旅费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31008</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物资储备</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30113</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住房公积金</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9.46</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30212</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因公出国（境）费用</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31009</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土地补偿</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30114</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医疗费</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30213</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维修（护）费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31010</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安置补助</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30199</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其他工资福利支出</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30214</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租赁费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31011</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地上附着物和青苗补偿</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对个人和家庭的补助</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3.97</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30215</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会议费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31012</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拆迁补偿</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30301</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离休费</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30216</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培训费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31013</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公务用车购置</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30302</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退休费</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0.92</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30217</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公务接待费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0.06</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31019</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其他交通工具购置</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30303</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退职（役）费</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30218</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专用材料费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31021</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文物和陈列品购置</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30304</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抚恤金</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30224</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被装购置费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31022</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无形资产购置</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auto"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30305</w:t>
            </w:r>
          </w:p>
        </w:tc>
        <w:tc>
          <w:tcPr>
            <w:tcW w:w="1123" w:type="pct"/>
            <w:tcBorders>
              <w:top w:val="nil"/>
              <w:left w:val="nil"/>
              <w:bottom w:val="single" w:color="auto"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生活补助</w:t>
            </w:r>
          </w:p>
        </w:tc>
        <w:tc>
          <w:tcPr>
            <w:tcW w:w="281" w:type="pct"/>
            <w:tcBorders>
              <w:top w:val="nil"/>
              <w:left w:val="nil"/>
              <w:bottom w:val="single" w:color="auto"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auto"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30225</w:t>
            </w:r>
          </w:p>
        </w:tc>
        <w:tc>
          <w:tcPr>
            <w:tcW w:w="772" w:type="pct"/>
            <w:tcBorders>
              <w:top w:val="nil"/>
              <w:left w:val="nil"/>
              <w:bottom w:val="single" w:color="auto"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专用燃料费</w:t>
            </w:r>
          </w:p>
        </w:tc>
        <w:tc>
          <w:tcPr>
            <w:tcW w:w="211" w:type="pct"/>
            <w:tcBorders>
              <w:top w:val="nil"/>
              <w:left w:val="nil"/>
              <w:bottom w:val="single" w:color="auto"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auto"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31099</w:t>
            </w:r>
          </w:p>
        </w:tc>
        <w:tc>
          <w:tcPr>
            <w:tcW w:w="1404" w:type="pct"/>
            <w:tcBorders>
              <w:top w:val="nil"/>
              <w:left w:val="nil"/>
              <w:bottom w:val="single" w:color="auto"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其他资本性支出</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30306</w:t>
            </w:r>
          </w:p>
        </w:tc>
        <w:tc>
          <w:tcPr>
            <w:tcW w:w="1123"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救济费</w:t>
            </w:r>
          </w:p>
        </w:tc>
        <w:tc>
          <w:tcPr>
            <w:tcW w:w="28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30226</w:t>
            </w:r>
          </w:p>
        </w:tc>
        <w:tc>
          <w:tcPr>
            <w:tcW w:w="772"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劳务费</w:t>
            </w:r>
          </w:p>
        </w:tc>
        <w:tc>
          <w:tcPr>
            <w:tcW w:w="21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399</w:t>
            </w:r>
          </w:p>
        </w:tc>
        <w:tc>
          <w:tcPr>
            <w:tcW w:w="1404" w:type="pct"/>
            <w:tcBorders>
              <w:top w:val="single" w:color="auto" w:sz="4" w:space="0"/>
              <w:left w:val="single" w:color="auto" w:sz="4" w:space="0"/>
              <w:bottom w:val="single" w:color="auto" w:sz="4" w:space="0"/>
              <w:right w:val="single" w:color="auto"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其他支出</w:t>
            </w:r>
          </w:p>
        </w:tc>
        <w:tc>
          <w:tcPr>
            <w:tcW w:w="472" w:type="pct"/>
            <w:tcBorders>
              <w:top w:val="nil"/>
              <w:left w:val="single" w:color="auto" w:sz="4" w:space="0"/>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single" w:color="auto" w:sz="4" w:space="0"/>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30307</w:t>
            </w:r>
          </w:p>
        </w:tc>
        <w:tc>
          <w:tcPr>
            <w:tcW w:w="1123" w:type="pct"/>
            <w:tcBorders>
              <w:top w:val="single" w:color="auto" w:sz="4" w:space="0"/>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医疗费补助</w:t>
            </w:r>
          </w:p>
        </w:tc>
        <w:tc>
          <w:tcPr>
            <w:tcW w:w="281" w:type="pct"/>
            <w:tcBorders>
              <w:top w:val="single" w:color="auto" w:sz="4" w:space="0"/>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single" w:color="auto" w:sz="4" w:space="0"/>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30227</w:t>
            </w:r>
          </w:p>
        </w:tc>
        <w:tc>
          <w:tcPr>
            <w:tcW w:w="772" w:type="pct"/>
            <w:tcBorders>
              <w:top w:val="single" w:color="auto" w:sz="4" w:space="0"/>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委托业务费</w:t>
            </w:r>
          </w:p>
        </w:tc>
        <w:tc>
          <w:tcPr>
            <w:tcW w:w="211" w:type="pct"/>
            <w:tcBorders>
              <w:top w:val="single" w:color="auto" w:sz="4" w:space="0"/>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single" w:color="auto" w:sz="4" w:space="0"/>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39906</w:t>
            </w:r>
          </w:p>
        </w:tc>
        <w:tc>
          <w:tcPr>
            <w:tcW w:w="1404" w:type="pct"/>
            <w:tcBorders>
              <w:top w:val="single" w:color="auto" w:sz="4" w:space="0"/>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赠与</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30308</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助学金</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30228</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工会经费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1.48</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39907</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国家赔偿费用支出</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30309</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奖励金</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30229</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福利费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0.35</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39908</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对民间非营利组织和群众性自治组织补贴</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30310</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个人农业生产补贴</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30231</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公务用车运行维护费</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39999</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其他支出</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30311</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代缴社会保险费</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30239</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其他交通费用</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30399</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其他对个人和家庭的补助</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3.05</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30240</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税金及附加费用</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246"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123"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30299</w:t>
            </w:r>
          </w:p>
        </w:tc>
        <w:tc>
          <w:tcPr>
            <w:tcW w:w="772"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其他商品和服务支出</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2.44</w:t>
            </w:r>
          </w:p>
        </w:tc>
        <w:tc>
          <w:tcPr>
            <w:tcW w:w="24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40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369"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人员经费合计</w:t>
            </w:r>
          </w:p>
        </w:tc>
        <w:tc>
          <w:tcPr>
            <w:tcW w:w="28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138.38</w:t>
            </w:r>
          </w:p>
        </w:tc>
        <w:tc>
          <w:tcPr>
            <w:tcW w:w="2878" w:type="pct"/>
            <w:gridSpan w:val="5"/>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公用经费合计</w:t>
            </w:r>
          </w:p>
        </w:tc>
        <w:tc>
          <w:tcPr>
            <w:tcW w:w="47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4.37</w:t>
            </w:r>
          </w:p>
        </w:tc>
      </w:tr>
      <w:tr>
        <w:tblPrEx>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注：本表反映部门本年度一般公共预算财政拨款基本支出明细情况。</w:t>
            </w:r>
          </w:p>
        </w:tc>
      </w:tr>
    </w:tbl>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rPr>
          <w:rFonts w:ascii="黑体" w:hAnsi="黑体" w:eastAsia="黑体" w:cs="宋体"/>
          <w:color w:val="000000"/>
          <w:kern w:val="0"/>
          <w:sz w:val="32"/>
          <w:szCs w:val="32"/>
        </w:rPr>
      </w:pPr>
    </w:p>
    <w:p>
      <w:pPr>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color w:val="000000"/>
          <w:kern w:val="0"/>
          <w:sz w:val="32"/>
          <w:szCs w:val="32"/>
        </w:rPr>
        <w:t>表七：一般公共预算财政拨款安排的“三公”经费支出决算表</w:t>
      </w:r>
    </w:p>
    <w:p>
      <w:pPr>
        <w:jc w:val="center"/>
        <w:rPr>
          <w:rFonts w:ascii="宋体" w:cs="宋体"/>
          <w:color w:val="000000"/>
          <w:kern w:val="0"/>
          <w:sz w:val="32"/>
          <w:szCs w:val="32"/>
        </w:rPr>
      </w:pPr>
      <w:r>
        <w:rPr>
          <w:rFonts w:hint="eastAsia" w:ascii="宋体" w:cs="宋体"/>
          <w:color w:val="000000"/>
          <w:kern w:val="0"/>
          <w:sz w:val="32"/>
          <w:szCs w:val="32"/>
        </w:rPr>
        <w:t>一般公共预算财政拨款安排的“三公”经费支出决算表</w:t>
      </w:r>
    </w:p>
    <w:tbl>
      <w:tblPr>
        <w:tblStyle w:val="4"/>
        <w:tblW w:w="5000" w:type="pct"/>
        <w:tblInd w:w="0" w:type="dxa"/>
        <w:tblLayout w:type="autofit"/>
        <w:tblCellMar>
          <w:top w:w="0" w:type="dxa"/>
          <w:left w:w="108" w:type="dxa"/>
          <w:bottom w:w="0" w:type="dxa"/>
          <w:right w:w="108" w:type="dxa"/>
        </w:tblCellMar>
      </w:tblPr>
      <w:tblGrid>
        <w:gridCol w:w="1302"/>
        <w:gridCol w:w="1302"/>
        <w:gridCol w:w="1302"/>
        <w:gridCol w:w="1311"/>
        <w:gridCol w:w="1197"/>
        <w:gridCol w:w="1201"/>
        <w:gridCol w:w="1197"/>
        <w:gridCol w:w="1197"/>
        <w:gridCol w:w="1197"/>
        <w:gridCol w:w="1197"/>
        <w:gridCol w:w="1201"/>
        <w:gridCol w:w="1748"/>
      </w:tblGrid>
      <w:tr>
        <w:tblPrEx>
          <w:tblCellMar>
            <w:top w:w="0" w:type="dxa"/>
            <w:left w:w="108" w:type="dxa"/>
            <w:bottom w:w="0" w:type="dxa"/>
            <w:right w:w="108" w:type="dxa"/>
          </w:tblCellMar>
        </w:tblPrEx>
        <w:trPr>
          <w:trHeight w:val="255" w:hRule="atLeast"/>
        </w:trPr>
        <w:tc>
          <w:tcPr>
            <w:tcW w:w="424"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424"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424"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426"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9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9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9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9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9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9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9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0"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公开07表</w:t>
            </w:r>
          </w:p>
        </w:tc>
      </w:tr>
      <w:tr>
        <w:tblPrEx>
          <w:tblCellMar>
            <w:top w:w="0" w:type="dxa"/>
            <w:left w:w="108" w:type="dxa"/>
            <w:bottom w:w="0" w:type="dxa"/>
            <w:right w:w="108" w:type="dxa"/>
          </w:tblCellMar>
        </w:tblPrEx>
        <w:trPr>
          <w:trHeight w:val="255" w:hRule="atLeast"/>
        </w:trPr>
        <w:tc>
          <w:tcPr>
            <w:tcW w:w="1699" w:type="pct"/>
            <w:gridSpan w:val="4"/>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部门：广西壮族自治区人力资源和社会保障宣传中心</w:t>
            </w:r>
          </w:p>
        </w:tc>
        <w:tc>
          <w:tcPr>
            <w:tcW w:w="39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9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9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9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9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9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9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0"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2480" w:type="pct"/>
            <w:gridSpan w:val="6"/>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预算数</w:t>
            </w:r>
          </w:p>
        </w:tc>
        <w:tc>
          <w:tcPr>
            <w:tcW w:w="2520" w:type="pct"/>
            <w:gridSpan w:val="6"/>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决算数</w:t>
            </w:r>
          </w:p>
        </w:tc>
      </w:tr>
      <w:tr>
        <w:tblPrEx>
          <w:tblCellMar>
            <w:top w:w="0" w:type="dxa"/>
            <w:left w:w="108" w:type="dxa"/>
            <w:bottom w:w="0" w:type="dxa"/>
            <w:right w:w="108" w:type="dxa"/>
          </w:tblCellMar>
        </w:tblPrEx>
        <w:trPr>
          <w:trHeight w:val="308" w:hRule="atLeast"/>
        </w:trPr>
        <w:tc>
          <w:tcPr>
            <w:tcW w:w="424" w:type="pct"/>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424"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因公出国（境）费</w:t>
            </w:r>
          </w:p>
        </w:tc>
        <w:tc>
          <w:tcPr>
            <w:tcW w:w="1240" w:type="pct"/>
            <w:gridSpan w:val="3"/>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公务用车购置及运行费</w:t>
            </w:r>
          </w:p>
        </w:tc>
        <w:tc>
          <w:tcPr>
            <w:tcW w:w="391"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公务接待费</w:t>
            </w:r>
          </w:p>
        </w:tc>
        <w:tc>
          <w:tcPr>
            <w:tcW w:w="390"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390"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因公出国（境）费</w:t>
            </w:r>
          </w:p>
        </w:tc>
        <w:tc>
          <w:tcPr>
            <w:tcW w:w="1171" w:type="pct"/>
            <w:gridSpan w:val="3"/>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公务用车购置及运行费</w:t>
            </w:r>
          </w:p>
        </w:tc>
        <w:tc>
          <w:tcPr>
            <w:tcW w:w="570"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公务接待费</w:t>
            </w:r>
          </w:p>
        </w:tc>
      </w:tr>
      <w:tr>
        <w:tblPrEx>
          <w:tblCellMar>
            <w:top w:w="0" w:type="dxa"/>
            <w:left w:w="108" w:type="dxa"/>
            <w:bottom w:w="0" w:type="dxa"/>
            <w:right w:w="108" w:type="dxa"/>
          </w:tblCellMar>
        </w:tblPrEx>
        <w:trPr>
          <w:trHeight w:val="615" w:hRule="atLeast"/>
        </w:trPr>
        <w:tc>
          <w:tcPr>
            <w:tcW w:w="424"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424"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424"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426"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公务用车购置费</w:t>
            </w:r>
          </w:p>
        </w:tc>
        <w:tc>
          <w:tcPr>
            <w:tcW w:w="390"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公务用车运行费</w:t>
            </w:r>
          </w:p>
        </w:tc>
        <w:tc>
          <w:tcPr>
            <w:tcW w:w="391"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90"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90"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90"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390"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公务用车购置费</w:t>
            </w:r>
          </w:p>
        </w:tc>
        <w:tc>
          <w:tcPr>
            <w:tcW w:w="391"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公务用车运行费</w:t>
            </w:r>
          </w:p>
        </w:tc>
        <w:tc>
          <w:tcPr>
            <w:tcW w:w="570"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424" w:type="pc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424"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424"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426"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390"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391"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390"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c>
          <w:tcPr>
            <w:tcW w:w="390"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8</w:t>
            </w:r>
          </w:p>
        </w:tc>
        <w:tc>
          <w:tcPr>
            <w:tcW w:w="390"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9</w:t>
            </w:r>
          </w:p>
        </w:tc>
        <w:tc>
          <w:tcPr>
            <w:tcW w:w="390"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10</w:t>
            </w:r>
          </w:p>
        </w:tc>
        <w:tc>
          <w:tcPr>
            <w:tcW w:w="391"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11</w:t>
            </w:r>
          </w:p>
        </w:tc>
        <w:tc>
          <w:tcPr>
            <w:tcW w:w="570"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12</w:t>
            </w:r>
          </w:p>
        </w:tc>
      </w:tr>
      <w:tr>
        <w:tblPrEx>
          <w:tblCellMar>
            <w:top w:w="0" w:type="dxa"/>
            <w:left w:w="108" w:type="dxa"/>
            <w:bottom w:w="0" w:type="dxa"/>
            <w:right w:w="108" w:type="dxa"/>
          </w:tblCellMar>
        </w:tblPrEx>
        <w:trPr>
          <w:trHeight w:val="308" w:hRule="atLeast"/>
        </w:trPr>
        <w:tc>
          <w:tcPr>
            <w:tcW w:w="424" w:type="pct"/>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0.10</w:t>
            </w:r>
          </w:p>
        </w:tc>
        <w:tc>
          <w:tcPr>
            <w:tcW w:w="424"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24"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39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0.10</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0.06</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39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0.06</w:t>
            </w:r>
          </w:p>
        </w:tc>
      </w:tr>
      <w:tr>
        <w:tblPrEx>
          <w:tblCellMar>
            <w:top w:w="0" w:type="dxa"/>
            <w:left w:w="108" w:type="dxa"/>
            <w:bottom w:w="0" w:type="dxa"/>
            <w:right w:w="108" w:type="dxa"/>
          </w:tblCellMar>
        </w:tblPrEx>
        <w:trPr>
          <w:trHeight w:val="615" w:hRule="atLeast"/>
        </w:trPr>
        <w:tc>
          <w:tcPr>
            <w:tcW w:w="5000" w:type="pct"/>
            <w:gridSpan w:val="12"/>
            <w:tcBorders>
              <w:top w:val="nil"/>
              <w:left w:val="nil"/>
              <w:bottom w:val="nil"/>
              <w:right w:val="nil"/>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left"/>
              <w:rPr>
                <w:rFonts w:ascii="宋体" w:hAnsi="宋体" w:cs="Arial"/>
                <w:color w:val="000000"/>
                <w:kern w:val="0"/>
                <w:sz w:val="22"/>
                <w:szCs w:val="22"/>
              </w:rPr>
            </w:pPr>
          </w:p>
          <w:p>
            <w:pPr>
              <w:widowControl/>
              <w:jc w:val="left"/>
              <w:rPr>
                <w:rFonts w:ascii="宋体" w:hAnsi="宋体" w:cs="Arial"/>
                <w:color w:val="000000"/>
                <w:kern w:val="0"/>
                <w:sz w:val="22"/>
                <w:szCs w:val="22"/>
              </w:rPr>
            </w:pPr>
          </w:p>
          <w:p>
            <w:pPr>
              <w:widowControl/>
              <w:jc w:val="left"/>
              <w:rPr>
                <w:rFonts w:ascii="宋体" w:hAnsi="宋体" w:cs="Arial"/>
                <w:color w:val="000000"/>
                <w:kern w:val="0"/>
                <w:sz w:val="22"/>
                <w:szCs w:val="22"/>
              </w:rPr>
            </w:pPr>
          </w:p>
          <w:p>
            <w:pPr>
              <w:widowControl/>
              <w:jc w:val="left"/>
              <w:rPr>
                <w:rFonts w:ascii="宋体" w:hAnsi="宋体" w:cs="Arial"/>
                <w:color w:val="000000"/>
                <w:kern w:val="0"/>
                <w:sz w:val="22"/>
                <w:szCs w:val="22"/>
              </w:rPr>
            </w:pPr>
          </w:p>
          <w:p>
            <w:pPr>
              <w:widowControl/>
              <w:jc w:val="left"/>
              <w:rPr>
                <w:rFonts w:ascii="宋体" w:hAnsi="宋体" w:cs="Arial"/>
                <w:color w:val="000000"/>
                <w:kern w:val="0"/>
                <w:sz w:val="22"/>
                <w:szCs w:val="22"/>
              </w:rPr>
            </w:pPr>
          </w:p>
          <w:p>
            <w:pPr>
              <w:widowControl/>
              <w:jc w:val="left"/>
              <w:rPr>
                <w:rFonts w:ascii="宋体" w:hAnsi="宋体" w:cs="Arial"/>
                <w:color w:val="000000"/>
                <w:kern w:val="0"/>
                <w:sz w:val="22"/>
                <w:szCs w:val="22"/>
              </w:rPr>
            </w:pPr>
          </w:p>
          <w:p>
            <w:pPr>
              <w:widowControl/>
              <w:jc w:val="left"/>
              <w:rPr>
                <w:rFonts w:ascii="宋体" w:hAnsi="宋体" w:cs="Arial"/>
                <w:color w:val="000000"/>
                <w:kern w:val="0"/>
                <w:sz w:val="22"/>
                <w:szCs w:val="22"/>
              </w:rPr>
            </w:pPr>
          </w:p>
          <w:p>
            <w:pPr>
              <w:widowControl/>
              <w:jc w:val="left"/>
              <w:rPr>
                <w:rFonts w:ascii="宋体" w:hAnsi="宋体" w:cs="Arial"/>
                <w:color w:val="000000"/>
                <w:kern w:val="0"/>
                <w:sz w:val="22"/>
                <w:szCs w:val="22"/>
              </w:rPr>
            </w:pPr>
          </w:p>
          <w:p>
            <w:pPr>
              <w:widowControl/>
              <w:jc w:val="left"/>
              <w:rPr>
                <w:rFonts w:ascii="宋体" w:hAnsi="宋体" w:cs="Arial"/>
                <w:color w:val="000000"/>
                <w:kern w:val="0"/>
                <w:sz w:val="22"/>
                <w:szCs w:val="22"/>
              </w:rPr>
            </w:pPr>
          </w:p>
          <w:p>
            <w:pPr>
              <w:widowControl/>
              <w:jc w:val="left"/>
              <w:rPr>
                <w:rFonts w:ascii="宋体" w:hAnsi="宋体" w:cs="Arial"/>
                <w:color w:val="000000"/>
                <w:kern w:val="0"/>
                <w:sz w:val="22"/>
                <w:szCs w:val="22"/>
              </w:rPr>
            </w:pPr>
          </w:p>
          <w:p>
            <w:pPr>
              <w:widowControl/>
              <w:jc w:val="left"/>
              <w:rPr>
                <w:rFonts w:ascii="宋体" w:hAnsi="宋体" w:cs="Arial"/>
                <w:color w:val="000000"/>
                <w:kern w:val="0"/>
                <w:sz w:val="22"/>
                <w:szCs w:val="22"/>
              </w:rPr>
            </w:pPr>
          </w:p>
          <w:p>
            <w:pPr>
              <w:widowControl/>
              <w:jc w:val="left"/>
              <w:rPr>
                <w:rFonts w:ascii="宋体" w:hAnsi="宋体" w:cs="Arial"/>
                <w:color w:val="000000"/>
                <w:kern w:val="0"/>
                <w:sz w:val="22"/>
                <w:szCs w:val="22"/>
              </w:rPr>
            </w:pPr>
          </w:p>
          <w:p>
            <w:pPr>
              <w:widowControl/>
              <w:jc w:val="left"/>
              <w:rPr>
                <w:rFonts w:ascii="宋体" w:hAnsi="宋体" w:cs="Arial"/>
                <w:color w:val="000000"/>
                <w:kern w:val="0"/>
                <w:sz w:val="22"/>
                <w:szCs w:val="22"/>
              </w:rPr>
            </w:pPr>
          </w:p>
          <w:p>
            <w:pPr>
              <w:widowControl/>
              <w:jc w:val="left"/>
              <w:rPr>
                <w:rFonts w:ascii="宋体" w:hAnsi="宋体" w:cs="Arial"/>
                <w:color w:val="000000"/>
                <w:kern w:val="0"/>
                <w:sz w:val="22"/>
                <w:szCs w:val="22"/>
              </w:rPr>
            </w:pPr>
          </w:p>
          <w:p>
            <w:pPr>
              <w:widowControl/>
              <w:jc w:val="left"/>
              <w:rPr>
                <w:rFonts w:ascii="宋体" w:hAnsi="宋体" w:cs="Arial"/>
                <w:color w:val="000000"/>
                <w:kern w:val="0"/>
                <w:sz w:val="22"/>
                <w:szCs w:val="22"/>
              </w:rPr>
            </w:pPr>
          </w:p>
          <w:p>
            <w:pPr>
              <w:rPr>
                <w:rFonts w:ascii="黑体" w:hAnsi="黑体" w:eastAsia="黑体" w:cs="宋体"/>
                <w:color w:val="000000"/>
                <w:kern w:val="0"/>
                <w:sz w:val="32"/>
                <w:szCs w:val="32"/>
              </w:rPr>
            </w:pPr>
          </w:p>
          <w:p>
            <w:pPr>
              <w:rPr>
                <w:rFonts w:ascii="黑体" w:hAnsi="黑体" w:eastAsia="黑体" w:cs="宋体"/>
                <w:color w:val="000000"/>
                <w:kern w:val="0"/>
                <w:sz w:val="32"/>
                <w:szCs w:val="32"/>
              </w:rPr>
            </w:pPr>
            <w:r>
              <w:rPr>
                <w:rFonts w:hint="eastAsia" w:ascii="黑体" w:hAnsi="黑体" w:eastAsia="黑体" w:cs="宋体"/>
                <w:color w:val="000000"/>
                <w:kern w:val="0"/>
                <w:sz w:val="32"/>
                <w:szCs w:val="32"/>
              </w:rPr>
              <w:t>表八：政府性基金预算财政拨款收入支出决算表</w:t>
            </w:r>
          </w:p>
          <w:p>
            <w:pPr>
              <w:ind w:firstLine="1600" w:firstLineChars="500"/>
              <w:jc w:val="center"/>
              <w:rPr>
                <w:rFonts w:ascii="宋体" w:cs="宋体"/>
                <w:color w:val="000000"/>
                <w:kern w:val="0"/>
                <w:sz w:val="32"/>
                <w:szCs w:val="32"/>
              </w:rPr>
            </w:pPr>
            <w:r>
              <w:rPr>
                <w:rFonts w:hint="eastAsia" w:ascii="宋体" w:cs="宋体"/>
                <w:color w:val="000000"/>
                <w:kern w:val="0"/>
                <w:sz w:val="32"/>
                <w:szCs w:val="32"/>
              </w:rPr>
              <w:t>政府性基金预算财政拨款收入支出决算表</w:t>
            </w:r>
          </w:p>
          <w:tbl>
            <w:tblPr>
              <w:tblStyle w:val="4"/>
              <w:tblW w:w="5000" w:type="pct"/>
              <w:tblInd w:w="0" w:type="dxa"/>
              <w:tblLayout w:type="autofit"/>
              <w:tblCellMar>
                <w:top w:w="0" w:type="dxa"/>
                <w:left w:w="108" w:type="dxa"/>
                <w:bottom w:w="0" w:type="dxa"/>
                <w:right w:w="108" w:type="dxa"/>
              </w:tblCellMar>
            </w:tblPr>
            <w:tblGrid>
              <w:gridCol w:w="357"/>
              <w:gridCol w:w="357"/>
              <w:gridCol w:w="357"/>
              <w:gridCol w:w="3935"/>
              <w:gridCol w:w="1689"/>
              <w:gridCol w:w="1689"/>
              <w:gridCol w:w="1689"/>
              <w:gridCol w:w="1689"/>
              <w:gridCol w:w="1690"/>
              <w:gridCol w:w="1684"/>
            </w:tblGrid>
            <w:tr>
              <w:tblPrEx>
                <w:tblCellMar>
                  <w:top w:w="0" w:type="dxa"/>
                  <w:left w:w="108" w:type="dxa"/>
                  <w:bottom w:w="0" w:type="dxa"/>
                  <w:right w:w="108" w:type="dxa"/>
                </w:tblCellMar>
              </w:tblPrEx>
              <w:trPr>
                <w:trHeight w:val="255" w:hRule="atLeast"/>
              </w:trPr>
              <w:tc>
                <w:tcPr>
                  <w:tcW w:w="11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1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1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299"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8"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公开08表</w:t>
                  </w:r>
                </w:p>
              </w:tc>
            </w:tr>
            <w:tr>
              <w:tblPrEx>
                <w:tblCellMar>
                  <w:top w:w="0" w:type="dxa"/>
                  <w:left w:w="108" w:type="dxa"/>
                  <w:bottom w:w="0" w:type="dxa"/>
                  <w:right w:w="108" w:type="dxa"/>
                </w:tblCellMar>
              </w:tblPrEx>
              <w:trPr>
                <w:trHeight w:val="255" w:hRule="atLeast"/>
              </w:trPr>
              <w:tc>
                <w:tcPr>
                  <w:tcW w:w="1654" w:type="pct"/>
                  <w:gridSpan w:val="4"/>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部门：广西壮族自治区人力资源和社会保障宣传中心</w:t>
                  </w:r>
                </w:p>
              </w:tc>
              <w:tc>
                <w:tcPr>
                  <w:tcW w:w="55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8"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1654"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558"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年初结转和结余</w:t>
                  </w:r>
                </w:p>
              </w:tc>
              <w:tc>
                <w:tcPr>
                  <w:tcW w:w="558"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w:t>
                  </w:r>
                </w:p>
              </w:tc>
              <w:tc>
                <w:tcPr>
                  <w:tcW w:w="1673" w:type="pct"/>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c>
                <w:tcPr>
                  <w:tcW w:w="558"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年末结转和结余</w:t>
                  </w:r>
                </w:p>
              </w:tc>
            </w:tr>
            <w:tr>
              <w:tblPrEx>
                <w:tblCellMar>
                  <w:top w:w="0" w:type="dxa"/>
                  <w:left w:w="108" w:type="dxa"/>
                  <w:bottom w:w="0" w:type="dxa"/>
                  <w:right w:w="108" w:type="dxa"/>
                </w:tblCellMar>
              </w:tblPrEx>
              <w:trPr>
                <w:trHeight w:val="312" w:hRule="atLeast"/>
              </w:trPr>
              <w:tc>
                <w:tcPr>
                  <w:tcW w:w="354"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1299"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558"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8"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8"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558"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558"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558"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354"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299"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8"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8"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8"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8"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8"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8"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354"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299"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8"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8"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8"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8"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8"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8"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1654"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558"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558"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558"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558"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558"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558"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tblPrEx>
                <w:tblCellMar>
                  <w:top w:w="0" w:type="dxa"/>
                  <w:left w:w="108" w:type="dxa"/>
                  <w:bottom w:w="0" w:type="dxa"/>
                  <w:right w:w="108" w:type="dxa"/>
                </w:tblCellMar>
              </w:tblPrEx>
              <w:trPr>
                <w:trHeight w:val="308" w:hRule="atLeast"/>
              </w:trPr>
              <w:tc>
                <w:tcPr>
                  <w:tcW w:w="1654"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r>
            <w:tr>
              <w:tblPrEx>
                <w:tblCellMar>
                  <w:top w:w="0" w:type="dxa"/>
                  <w:left w:w="108" w:type="dxa"/>
                  <w:bottom w:w="0" w:type="dxa"/>
                  <w:right w:w="108" w:type="dxa"/>
                </w:tblCellMar>
              </w:tblPrEx>
              <w:trPr>
                <w:trHeight w:val="308" w:hRule="atLeast"/>
              </w:trPr>
              <w:tc>
                <w:tcPr>
                  <w:tcW w:w="35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9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5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9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5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9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5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9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5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9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5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9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5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注：本表反映部门本年度政府性基金预算财政拨款收入、支出及结转和结余情况。</w:t>
                  </w:r>
                </w:p>
              </w:tc>
            </w:tr>
          </w:tbl>
          <w:p>
            <w:pPr>
              <w:widowControl/>
              <w:jc w:val="left"/>
              <w:rPr>
                <w:rFonts w:ascii="宋体" w:hAnsi="宋体" w:cs="Arial"/>
                <w:color w:val="000000"/>
                <w:kern w:val="0"/>
                <w:sz w:val="22"/>
                <w:szCs w:val="22"/>
              </w:rPr>
            </w:pPr>
          </w:p>
        </w:tc>
      </w:tr>
    </w:tbl>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autoSpaceDE w:val="0"/>
        <w:autoSpaceDN w:val="0"/>
        <w:adjustRightInd w:val="0"/>
        <w:spacing w:line="560" w:lineRule="exact"/>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rPr>
        <w:t>表九：国有资本经营预算财政拨款收入支出决算表</w:t>
      </w:r>
    </w:p>
    <w:p>
      <w:pPr>
        <w:autoSpaceDE w:val="0"/>
        <w:autoSpaceDN w:val="0"/>
        <w:adjustRightInd w:val="0"/>
        <w:spacing w:line="560" w:lineRule="exact"/>
        <w:jc w:val="left"/>
        <w:rPr>
          <w:rFonts w:ascii="黑体" w:hAnsi="黑体" w:eastAsia="黑体" w:cs="宋体"/>
          <w:color w:val="000000"/>
          <w:kern w:val="0"/>
          <w:sz w:val="32"/>
          <w:szCs w:val="32"/>
        </w:rPr>
      </w:pPr>
    </w:p>
    <w:p>
      <w:pPr>
        <w:autoSpaceDE w:val="0"/>
        <w:autoSpaceDN w:val="0"/>
        <w:adjustRightInd w:val="0"/>
        <w:spacing w:line="560" w:lineRule="exact"/>
        <w:jc w:val="center"/>
        <w:rPr>
          <w:rFonts w:ascii="宋体" w:cs="宋体"/>
          <w:color w:val="000000"/>
          <w:kern w:val="0"/>
          <w:sz w:val="32"/>
          <w:szCs w:val="32"/>
        </w:rPr>
      </w:pPr>
      <w:r>
        <w:rPr>
          <w:rFonts w:hint="eastAsia" w:ascii="宋体" w:cs="宋体"/>
          <w:color w:val="000000"/>
          <w:kern w:val="0"/>
          <w:sz w:val="32"/>
          <w:szCs w:val="32"/>
        </w:rPr>
        <w:t>国有资本经营预算财政拨款收入支出决算</w:t>
      </w:r>
    </w:p>
    <w:p>
      <w:pPr>
        <w:autoSpaceDE w:val="0"/>
        <w:autoSpaceDN w:val="0"/>
        <w:adjustRightInd w:val="0"/>
        <w:spacing w:line="560" w:lineRule="exact"/>
        <w:ind w:firstLine="140" w:firstLineChars="44"/>
        <w:rPr>
          <w:rFonts w:ascii="宋体" w:cs="宋体"/>
          <w:color w:val="000000"/>
          <w:kern w:val="0"/>
          <w:sz w:val="32"/>
          <w:szCs w:val="32"/>
        </w:rPr>
      </w:pPr>
    </w:p>
    <w:tbl>
      <w:tblPr>
        <w:tblStyle w:val="4"/>
        <w:tblW w:w="5000" w:type="pct"/>
        <w:tblInd w:w="0" w:type="dxa"/>
        <w:tblLayout w:type="autofit"/>
        <w:tblCellMar>
          <w:top w:w="0" w:type="dxa"/>
          <w:left w:w="108" w:type="dxa"/>
          <w:bottom w:w="0" w:type="dxa"/>
          <w:right w:w="108" w:type="dxa"/>
        </w:tblCellMar>
      </w:tblPr>
      <w:tblGrid>
        <w:gridCol w:w="522"/>
        <w:gridCol w:w="522"/>
        <w:gridCol w:w="522"/>
        <w:gridCol w:w="6049"/>
        <w:gridCol w:w="2579"/>
        <w:gridCol w:w="2579"/>
        <w:gridCol w:w="2579"/>
      </w:tblGrid>
      <w:tr>
        <w:tblPrEx>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7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7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97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84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84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840"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公开09表</w:t>
            </w:r>
          </w:p>
        </w:tc>
      </w:tr>
      <w:tr>
        <w:tblPrEx>
          <w:tblCellMar>
            <w:top w:w="0" w:type="dxa"/>
            <w:left w:w="108" w:type="dxa"/>
            <w:bottom w:w="0" w:type="dxa"/>
            <w:right w:w="108" w:type="dxa"/>
          </w:tblCellMar>
        </w:tblPrEx>
        <w:trPr>
          <w:trHeight w:val="255" w:hRule="atLeast"/>
        </w:trPr>
        <w:tc>
          <w:tcPr>
            <w:tcW w:w="2480" w:type="pct"/>
            <w:gridSpan w:val="4"/>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部门：广西壮族自治区人力资源和社会保障宣传中心</w:t>
            </w:r>
          </w:p>
        </w:tc>
        <w:tc>
          <w:tcPr>
            <w:tcW w:w="84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84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840"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2480"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2520" w:type="pct"/>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r>
      <w:tr>
        <w:tblPrEx>
          <w:tblCellMar>
            <w:top w:w="0" w:type="dxa"/>
            <w:left w:w="108" w:type="dxa"/>
            <w:bottom w:w="0" w:type="dxa"/>
            <w:right w:w="108" w:type="dxa"/>
          </w:tblCellMar>
        </w:tblPrEx>
        <w:trPr>
          <w:trHeight w:val="312" w:hRule="atLeast"/>
        </w:trPr>
        <w:tc>
          <w:tcPr>
            <w:tcW w:w="510"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1970"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840"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840"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840"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r>
      <w:tr>
        <w:tblPrEx>
          <w:tblCellMar>
            <w:top w:w="0" w:type="dxa"/>
            <w:left w:w="108" w:type="dxa"/>
            <w:bottom w:w="0" w:type="dxa"/>
            <w:right w:w="108" w:type="dxa"/>
          </w:tblCellMar>
        </w:tblPrEx>
        <w:trPr>
          <w:trHeight w:val="312" w:hRule="atLeast"/>
        </w:trPr>
        <w:tc>
          <w:tcPr>
            <w:tcW w:w="510"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970"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840"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840"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840"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510"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970"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840"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840"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840"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2480"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840"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840"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840"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r>
      <w:tr>
        <w:tblPrEx>
          <w:tblCellMar>
            <w:top w:w="0" w:type="dxa"/>
            <w:left w:w="108" w:type="dxa"/>
            <w:bottom w:w="0" w:type="dxa"/>
            <w:right w:w="108" w:type="dxa"/>
          </w:tblCellMar>
        </w:tblPrEx>
        <w:trPr>
          <w:trHeight w:val="308" w:hRule="atLeast"/>
        </w:trPr>
        <w:tc>
          <w:tcPr>
            <w:tcW w:w="2480"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r>
      <w:tr>
        <w:tblPrEx>
          <w:tblCellMar>
            <w:top w:w="0" w:type="dxa"/>
            <w:left w:w="108" w:type="dxa"/>
            <w:bottom w:w="0" w:type="dxa"/>
            <w:right w:w="108" w:type="dxa"/>
          </w:tblCellMar>
        </w:tblPrEx>
        <w:trPr>
          <w:trHeight w:val="308" w:hRule="atLeast"/>
        </w:trPr>
        <w:tc>
          <w:tcPr>
            <w:tcW w:w="51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97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51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97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51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97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51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97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51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97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51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97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注：本表反映部门本年度国有资本经营预算财政拨款支出情况。</w:t>
            </w:r>
          </w:p>
        </w:tc>
      </w:tr>
    </w:tbl>
    <w:p>
      <w:pPr>
        <w:autoSpaceDE w:val="0"/>
        <w:autoSpaceDN w:val="0"/>
        <w:adjustRightInd w:val="0"/>
        <w:spacing w:line="560" w:lineRule="exact"/>
        <w:jc w:val="left"/>
        <w:rPr>
          <w:rFonts w:cs="仿宋_GB2312" w:asciiTheme="minorEastAsia" w:hAnsiTheme="minorEastAsia" w:eastAsiaTheme="minorEastAsia"/>
          <w:kern w:val="0"/>
          <w:sz w:val="24"/>
        </w:rPr>
      </w:pPr>
      <w:r>
        <w:rPr>
          <w:rFonts w:hint="eastAsia" w:ascii="仿宋_GB2312" w:eastAsia="仿宋_GB2312"/>
          <w:bCs/>
          <w:color w:val="000000"/>
          <w:sz w:val="32"/>
          <w:szCs w:val="32"/>
        </w:rPr>
        <w:t xml:space="preserve">   </w:t>
      </w:r>
      <w:r>
        <w:rPr>
          <w:rFonts w:hint="eastAsia" w:ascii="仿宋_GB2312" w:eastAsia="仿宋_GB2312"/>
          <w:bCs/>
          <w:color w:val="000000"/>
          <w:sz w:val="24"/>
        </w:rPr>
        <w:t xml:space="preserve"> </w:t>
      </w:r>
      <w:r>
        <w:rPr>
          <w:rFonts w:hint="eastAsia" w:asciiTheme="minorEastAsia" w:hAnsiTheme="minorEastAsia" w:eastAsiaTheme="minorEastAsia"/>
          <w:bCs/>
          <w:color w:val="000000"/>
          <w:sz w:val="24"/>
        </w:rPr>
        <w:t>广西壮族自治区人力资源和社会保障宣传中心</w:t>
      </w:r>
      <w:r>
        <w:rPr>
          <w:rFonts w:hint="eastAsia" w:asciiTheme="minorEastAsia" w:hAnsiTheme="minorEastAsia" w:eastAsiaTheme="minorEastAsia"/>
          <w:kern w:val="0"/>
          <w:sz w:val="24"/>
        </w:rPr>
        <w:t>2020</w:t>
      </w:r>
      <w:r>
        <w:rPr>
          <w:rFonts w:hint="eastAsia" w:cs="仿宋_GB2312" w:asciiTheme="minorEastAsia" w:hAnsiTheme="minorEastAsia" w:eastAsiaTheme="minorEastAsia"/>
          <w:kern w:val="0"/>
          <w:sz w:val="24"/>
        </w:rPr>
        <w:t>年度没有</w:t>
      </w:r>
      <w:r>
        <w:rPr>
          <w:rFonts w:hint="eastAsia" w:cs="宋体" w:asciiTheme="minorEastAsia" w:hAnsiTheme="minorEastAsia" w:eastAsiaTheme="minorEastAsia"/>
          <w:color w:val="000000"/>
          <w:kern w:val="0"/>
          <w:sz w:val="24"/>
        </w:rPr>
        <w:t>国有资本经营财政拨款</w:t>
      </w:r>
      <w:r>
        <w:rPr>
          <w:rFonts w:hint="eastAsia" w:cs="仿宋_GB2312" w:asciiTheme="minorEastAsia" w:hAnsiTheme="minorEastAsia" w:eastAsiaTheme="minorEastAsia"/>
          <w:kern w:val="0"/>
          <w:sz w:val="24"/>
        </w:rPr>
        <w:t>的支出，故本表无数据。</w:t>
      </w:r>
    </w:p>
    <w:p>
      <w:pPr>
        <w:autoSpaceDE w:val="0"/>
        <w:autoSpaceDN w:val="0"/>
        <w:adjustRightInd w:val="0"/>
        <w:spacing w:line="560" w:lineRule="exact"/>
        <w:ind w:firstLine="140" w:firstLineChars="44"/>
        <w:rPr>
          <w:rFonts w:ascii="宋体" w:cs="宋体"/>
          <w:color w:val="000000"/>
          <w:kern w:val="0"/>
          <w:sz w:val="32"/>
          <w:szCs w:val="32"/>
        </w:rPr>
      </w:pPr>
    </w:p>
    <w:p>
      <w:pPr>
        <w:spacing w:line="560" w:lineRule="exact"/>
        <w:jc w:val="center"/>
        <w:rPr>
          <w:rFonts w:ascii="黑体" w:hAnsi="黑体" w:eastAsia="黑体"/>
          <w:b/>
          <w:sz w:val="32"/>
          <w:szCs w:val="32"/>
        </w:rPr>
      </w:pPr>
      <w:bookmarkStart w:id="0" w:name="_GoBack"/>
      <w:bookmarkEnd w:id="0"/>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sz w:val="32"/>
          <w:szCs w:val="32"/>
        </w:rPr>
      </w:pPr>
      <w:r>
        <w:rPr>
          <w:rFonts w:hint="eastAsia" w:ascii="黑体" w:hAnsi="黑体" w:eastAsia="黑体"/>
          <w:sz w:val="32"/>
          <w:szCs w:val="32"/>
        </w:rPr>
        <w:t>第三部分：</w:t>
      </w:r>
      <w:r>
        <w:rPr>
          <w:rFonts w:hint="eastAsia" w:ascii="黑体" w:hAnsi="黑体" w:eastAsia="黑体"/>
          <w:bCs/>
          <w:color w:val="000000"/>
          <w:sz w:val="32"/>
          <w:szCs w:val="32"/>
        </w:rPr>
        <w:t>广西壮族自治区人力资源和社会保障宣传中心</w:t>
      </w:r>
      <w:r>
        <w:rPr>
          <w:rFonts w:hint="eastAsia" w:ascii="黑体" w:hAnsi="黑体" w:eastAsia="黑体"/>
          <w:sz w:val="32"/>
          <w:szCs w:val="32"/>
        </w:rPr>
        <w:t>2020年度部门决算情况说明</w:t>
      </w:r>
    </w:p>
    <w:p>
      <w:pPr>
        <w:spacing w:line="560" w:lineRule="exact"/>
        <w:jc w:val="center"/>
        <w:rPr>
          <w:rFonts w:asciiTheme="minorEastAsia" w:hAnsiTheme="minorEastAsia" w:eastAsiaTheme="minorEastAsia"/>
          <w:b/>
          <w:sz w:val="32"/>
          <w:szCs w:val="32"/>
        </w:rPr>
      </w:pPr>
    </w:p>
    <w:p>
      <w:pPr>
        <w:rPr>
          <w:rFonts w:asciiTheme="minorEastAsia" w:hAnsiTheme="minorEastAsia" w:eastAsiaTheme="minorEastAsia"/>
          <w:b/>
          <w:sz w:val="32"/>
          <w:szCs w:val="32"/>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b/>
          <w:sz w:val="32"/>
          <w:szCs w:val="32"/>
        </w:rPr>
        <w:t>一、2020年度收入支出决算总体情况</w:t>
      </w:r>
    </w:p>
    <w:p>
      <w:pPr>
        <w:ind w:firstLine="320" w:firstLineChars="10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（一）收入总计343.30万元，其中本年收入343.30万元</w:t>
      </w:r>
    </w:p>
    <w:p>
      <w:pPr>
        <w:ind w:firstLine="800" w:firstLineChars="250"/>
        <w:rPr>
          <w:rFonts w:cs="仿宋_GB2312" w:asciiTheme="minorEastAsia" w:hAnsiTheme="minorEastAsia" w:eastAsiaTheme="minorEastAsia"/>
          <w:sz w:val="32"/>
          <w:szCs w:val="32"/>
        </w:rPr>
      </w:pPr>
      <w:r>
        <w:rPr>
          <w:rFonts w:hint="eastAsia" w:asciiTheme="minorEastAsia" w:hAnsiTheme="minorEastAsia" w:eastAsiaTheme="minorEastAsia"/>
          <w:sz w:val="32"/>
          <w:szCs w:val="32"/>
        </w:rPr>
        <w:t>1.财政拨款收入343.26万元，为当年自治区本级一般公共预算财政拨款资金。较2019年决算数减少62.02万元，减少了15.30%。</w:t>
      </w:r>
      <w:r>
        <w:rPr>
          <w:rFonts w:hint="eastAsia" w:cs="仿宋_GB2312" w:asciiTheme="minorEastAsia" w:hAnsiTheme="minorEastAsia" w:eastAsiaTheme="minorEastAsia"/>
          <w:kern w:val="0"/>
          <w:sz w:val="32"/>
          <w:szCs w:val="32"/>
        </w:rPr>
        <w:t>财政拨款收入减少幅度较大的原因主要是：</w:t>
      </w:r>
      <w:r>
        <w:rPr>
          <w:rFonts w:hint="eastAsia" w:cs="仿宋_GB2312" w:asciiTheme="minorEastAsia" w:hAnsiTheme="minorEastAsia" w:eastAsiaTheme="minorEastAsia"/>
          <w:sz w:val="32"/>
          <w:szCs w:val="32"/>
        </w:rPr>
        <w:t>落实政府过紧日子要求，我单位大力压减一般性支出</w:t>
      </w:r>
      <w:r>
        <w:rPr>
          <w:rFonts w:hint="eastAsia" w:cs="仿宋_GB2312" w:asciiTheme="minorEastAsia" w:hAnsiTheme="minorEastAsia" w:eastAsiaTheme="minorEastAsia"/>
          <w:kern w:val="0"/>
          <w:sz w:val="32"/>
          <w:szCs w:val="32"/>
        </w:rPr>
        <w:t>，统一按10%的比例压减项目资金，2020年预算拨款收入减少</w:t>
      </w:r>
      <w:r>
        <w:rPr>
          <w:rFonts w:hint="eastAsia" w:cs="仿宋_GB2312" w:asciiTheme="minorEastAsia" w:hAnsiTheme="minorEastAsia" w:eastAsiaTheme="minorEastAsia"/>
          <w:sz w:val="32"/>
          <w:szCs w:val="32"/>
        </w:rPr>
        <w:t>导致。</w:t>
      </w:r>
    </w:p>
    <w:p>
      <w:pPr>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2.无上级补助收入。</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3.无事业收入。</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4.无经营收入。</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5.其他收入0.04万元，为预算单位在“财政拨款收入”、“事业收入”“经营收入”外取得的收入，同比增加0.04万元。增加原因是基本户利息收入和代扣代缴个人所得税返还手续费收入。</w:t>
      </w:r>
    </w:p>
    <w:p>
      <w:pPr>
        <w:ind w:firstLine="640" w:firstLineChars="200"/>
        <w:rPr>
          <w:rFonts w:asciiTheme="minorEastAsia" w:hAnsiTheme="minorEastAsia" w:eastAsiaTheme="minorEastAsia"/>
          <w:color w:val="FF0000"/>
          <w:sz w:val="32"/>
          <w:szCs w:val="32"/>
        </w:rPr>
      </w:pPr>
      <w:r>
        <w:rPr>
          <w:rFonts w:hint="eastAsia" w:asciiTheme="minorEastAsia" w:hAnsiTheme="minorEastAsia" w:eastAsiaTheme="minorEastAsia"/>
          <w:sz w:val="32"/>
          <w:szCs w:val="32"/>
        </w:rPr>
        <w:t xml:space="preserve"> 6.年初结转和结余0元。较2019年初结转和结余减少3.54元，原因是2020年第三季度广西财政厅收回了年初结转和结余资金。</w:t>
      </w:r>
    </w:p>
    <w:p>
      <w:pPr>
        <w:autoSpaceDE w:val="0"/>
        <w:autoSpaceDN w:val="0"/>
        <w:adjustRightInd w:val="0"/>
        <w:spacing w:line="560" w:lineRule="exact"/>
        <w:ind w:firstLine="627" w:firstLineChars="196"/>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（二）本部门2020年度总支出343.30万元，其中本年支出343.28万元, 较2019年度决算数</w:t>
      </w:r>
      <w:r>
        <w:rPr>
          <w:rFonts w:hint="eastAsia" w:asciiTheme="minorEastAsia" w:hAnsiTheme="minorEastAsia" w:eastAsiaTheme="minorEastAsia"/>
          <w:sz w:val="32"/>
          <w:szCs w:val="32"/>
        </w:rPr>
        <w:t>减少16.82</w:t>
      </w:r>
      <w:r>
        <w:rPr>
          <w:rFonts w:hint="eastAsia" w:cs="仿宋_GB2312" w:asciiTheme="minorEastAsia" w:hAnsiTheme="minorEastAsia" w:eastAsiaTheme="minorEastAsia"/>
          <w:kern w:val="0"/>
          <w:sz w:val="32"/>
          <w:szCs w:val="32"/>
        </w:rPr>
        <w:t>万元，</w:t>
      </w:r>
      <w:r>
        <w:rPr>
          <w:rFonts w:hint="eastAsia" w:asciiTheme="minorEastAsia" w:hAnsiTheme="minorEastAsia" w:eastAsiaTheme="minorEastAsia"/>
          <w:sz w:val="32"/>
          <w:szCs w:val="32"/>
        </w:rPr>
        <w:t>减少4.67</w:t>
      </w:r>
      <w:r>
        <w:rPr>
          <w:rFonts w:hint="eastAsia" w:cs="仿宋_GB2312" w:asciiTheme="minorEastAsia" w:hAnsiTheme="minorEastAsia" w:eastAsiaTheme="minorEastAsia"/>
          <w:kern w:val="0"/>
          <w:sz w:val="32"/>
          <w:szCs w:val="32"/>
        </w:rPr>
        <w:t>%。支出具体情况如下：</w:t>
      </w:r>
    </w:p>
    <w:p>
      <w:pPr>
        <w:autoSpaceDE w:val="0"/>
        <w:autoSpaceDN w:val="0"/>
        <w:adjustRightInd w:val="0"/>
        <w:spacing w:line="560" w:lineRule="exact"/>
        <w:ind w:firstLine="627" w:firstLineChars="196"/>
        <w:jc w:val="left"/>
        <w:rPr>
          <w:rFonts w:cs="仿宋_GB2312" w:asciiTheme="minorEastAsia" w:hAnsiTheme="minorEastAsia" w:eastAsiaTheme="minorEastAsia"/>
          <w:kern w:val="0"/>
          <w:sz w:val="32"/>
          <w:szCs w:val="32"/>
        </w:rPr>
      </w:pPr>
      <w:r>
        <w:rPr>
          <w:rFonts w:hint="eastAsia" w:asciiTheme="minorEastAsia" w:hAnsiTheme="minorEastAsia" w:eastAsiaTheme="minorEastAsia"/>
          <w:bCs/>
          <w:kern w:val="0"/>
          <w:sz w:val="32"/>
          <w:szCs w:val="32"/>
        </w:rPr>
        <w:t>1</w:t>
      </w:r>
      <w:r>
        <w:rPr>
          <w:rFonts w:hint="eastAsia" w:cs="仿宋_GB2312" w:asciiTheme="minorEastAsia" w:hAnsiTheme="minorEastAsia" w:eastAsiaTheme="minorEastAsia"/>
          <w:kern w:val="0"/>
          <w:sz w:val="32"/>
          <w:szCs w:val="32"/>
        </w:rPr>
        <w:t>.一般公共服务支出308.83万元：主要用于</w:t>
      </w:r>
      <w:r>
        <w:rPr>
          <w:rFonts w:hint="eastAsia" w:asciiTheme="minorEastAsia" w:hAnsiTheme="minorEastAsia" w:eastAsiaTheme="minorEastAsia"/>
          <w:sz w:val="32"/>
          <w:szCs w:val="32"/>
        </w:rPr>
        <w:t>一是广西壮族自治区人力资源和社会保障宣传中心在职人员工资福利及单位日常运转基本支出。二是广西壮族自治区人力资源和社会保障宣传中心为履行本单位职能开展的与人力资源和社会保障宣传业务有关的项目经费支出。</w:t>
      </w:r>
      <w:r>
        <w:rPr>
          <w:rFonts w:hint="eastAsia" w:cs="仿宋_GB2312" w:asciiTheme="minorEastAsia" w:hAnsiTheme="minorEastAsia" w:eastAsiaTheme="minorEastAsia"/>
          <w:kern w:val="0"/>
          <w:sz w:val="32"/>
          <w:szCs w:val="32"/>
        </w:rPr>
        <w:t>较2019年度决算数增加5.78万元，增长1.91%，主要原因是2020年度增加新入职员工2人，相应的工资福利及单位日常基本支出增加。</w:t>
      </w:r>
    </w:p>
    <w:p>
      <w:pPr>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社会保障和就业类支出19.13万元。主要用于以下支出：广西壮族自治区人力资源和社会保障宣传中心在职人员机关事业养老保险缴费和职业年金缴费支出，较2019年度决算数同比减少24.36万元，降低56.01%，原因是2019年在职人员社保基金清算补缴了部分差额款，2020年没有此项开支。</w:t>
      </w:r>
    </w:p>
    <w:p>
      <w:pPr>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3.卫生健康支出类5.86万元，较2019年度决算数同比增加0.84万元，增加16.73%，用于为本单位职工缴纳医疗保险。增加主要原因是2020年新增在职在编职工2人引起基本医疗保险缴费支出增加。</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4.住房保障支出类9.46万元，较2019年度决算增加0.91万元，增加10.64%，用于为本单位职工缴纳住房公积金。增加的主要原因是2020年住房公积金较2019年增加0.91万元，增加10.64%，住房公积金缴费增加的原因是因为2020年新增2名在职在编员工引起。</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5.结余分配0元，2020年无结余分配。</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6.年末结转和结余0.02万元，比上年同期减少45.21万元，其中财政拨款结转和结余减少45.21万元，非财政补助结转结余无变化。财政拨款结转和结余减少的原因是2020年度期未广西壮族自治区财政厅收回了所有的用款指标结余，年未无财政应返还额度。</w:t>
      </w:r>
    </w:p>
    <w:p>
      <w:pPr>
        <w:ind w:firstLine="803"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 xml:space="preserve">二、2020年度一般公共预算财政拨款支出决算情况 </w:t>
      </w:r>
    </w:p>
    <w:p>
      <w:pPr>
        <w:ind w:firstLine="800" w:firstLineChars="250"/>
        <w:rPr>
          <w:rFonts w:cs="仿宋_GB2312" w:asciiTheme="minorEastAsia" w:hAnsiTheme="minorEastAsia" w:eastAsiaTheme="minorEastAsia"/>
          <w:sz w:val="32"/>
          <w:szCs w:val="32"/>
        </w:rPr>
      </w:pPr>
      <w:r>
        <w:rPr>
          <w:rFonts w:hint="eastAsia" w:asciiTheme="minorEastAsia" w:hAnsiTheme="minorEastAsia" w:eastAsiaTheme="minorEastAsia"/>
          <w:sz w:val="32"/>
          <w:szCs w:val="32"/>
        </w:rPr>
        <w:t>广西壮族自治区人力资源和社会保障宣传中心2020年度一般公共预算财政拨款支出343.26万元，其中基本支出142.75万元，项目支出200.51万元；较2019年决算减少16.84万元，减少4.68%，减少的原因是2020年度</w:t>
      </w:r>
      <w:r>
        <w:rPr>
          <w:rFonts w:hint="eastAsia" w:cs="仿宋_GB2312" w:asciiTheme="minorEastAsia" w:hAnsiTheme="minorEastAsia" w:eastAsiaTheme="minorEastAsia"/>
          <w:sz w:val="32"/>
          <w:szCs w:val="32"/>
        </w:rPr>
        <w:t>落实政府过紧日子要求，我单位大力压减一般性支出</w:t>
      </w:r>
      <w:r>
        <w:rPr>
          <w:rFonts w:hint="eastAsia" w:cs="仿宋_GB2312" w:asciiTheme="minorEastAsia" w:hAnsiTheme="minorEastAsia" w:eastAsiaTheme="minorEastAsia"/>
          <w:kern w:val="0"/>
          <w:sz w:val="32"/>
          <w:szCs w:val="32"/>
        </w:rPr>
        <w:t>，统一按10%的比例压减项目资金，2020年预算拨款收入减少</w:t>
      </w:r>
      <w:r>
        <w:rPr>
          <w:rFonts w:hint="eastAsia" w:cs="仿宋_GB2312" w:asciiTheme="minorEastAsia" w:hAnsiTheme="minorEastAsia" w:eastAsiaTheme="minorEastAsia"/>
          <w:sz w:val="32"/>
          <w:szCs w:val="32"/>
        </w:rPr>
        <w:t>导致。</w:t>
      </w:r>
    </w:p>
    <w:p>
      <w:pPr>
        <w:autoSpaceDE w:val="0"/>
        <w:autoSpaceDN w:val="0"/>
        <w:adjustRightInd w:val="0"/>
        <w:spacing w:line="560" w:lineRule="exact"/>
        <w:ind w:firstLine="627" w:firstLineChars="196"/>
        <w:jc w:val="left"/>
        <w:rPr>
          <w:rFonts w:asciiTheme="minorEastAsia" w:hAnsiTheme="minorEastAsia" w:eastAsiaTheme="minorEastAsia"/>
          <w:sz w:val="32"/>
          <w:szCs w:val="32"/>
        </w:rPr>
      </w:pPr>
      <w:r>
        <w:rPr>
          <w:rFonts w:hint="eastAsia" w:cs="仿宋_GB2312" w:asciiTheme="minorEastAsia" w:hAnsiTheme="minorEastAsia" w:eastAsiaTheme="minorEastAsia"/>
          <w:kern w:val="0"/>
          <w:sz w:val="32"/>
          <w:szCs w:val="32"/>
        </w:rPr>
        <w:t>（一）一般公共服务支出308.81万元，较2019年决算增加5.76万元，增加1.90%，增加原因是事业运行308.81万元，较2019年决算增加5.76万元，增加1.90%，</w:t>
      </w:r>
      <w:r>
        <w:rPr>
          <w:rFonts w:hint="eastAsia" w:asciiTheme="minorEastAsia" w:hAnsiTheme="minorEastAsia" w:eastAsiaTheme="minorEastAsia"/>
          <w:sz w:val="32"/>
          <w:szCs w:val="32"/>
        </w:rPr>
        <w:t>增加的原因是2020年</w:t>
      </w:r>
      <w:r>
        <w:rPr>
          <w:rFonts w:hint="eastAsia" w:cs="仿宋_GB2312" w:asciiTheme="minorEastAsia" w:hAnsiTheme="minorEastAsia" w:eastAsiaTheme="minorEastAsia"/>
          <w:kern w:val="0"/>
          <w:sz w:val="32"/>
          <w:szCs w:val="32"/>
        </w:rPr>
        <w:t>度增加新入职员工2人，相应的工资福利及单位日常基本支出增加导致。</w:t>
      </w:r>
    </w:p>
    <w:p>
      <w:pPr>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(二)社会保障和就业支出19.13万元，较2019年度决算数同比减少24.36万元，降低56.01%，原因是2019年在职人员社保基金清算补缴了部分差额款，2020年没有此项开支。</w:t>
      </w:r>
    </w:p>
    <w:p>
      <w:pPr>
        <w:ind w:firstLine="800" w:firstLineChars="250"/>
        <w:rPr>
          <w:rFonts w:asciiTheme="minorEastAsia" w:hAnsiTheme="minorEastAsia" w:eastAsiaTheme="minorEastAsia"/>
          <w:sz w:val="32"/>
          <w:szCs w:val="32"/>
        </w:rPr>
      </w:pPr>
      <w:r>
        <w:rPr>
          <w:rFonts w:asciiTheme="minorEastAsia" w:hAnsiTheme="minorEastAsia" w:eastAsiaTheme="minorEastAsia"/>
          <w:sz w:val="32"/>
          <w:szCs w:val="32"/>
        </w:rPr>
        <w:fldChar w:fldCharType="begin"/>
      </w:r>
      <w:r>
        <w:rPr>
          <w:rFonts w:asciiTheme="minorEastAsia" w:hAnsiTheme="minorEastAsia" w:eastAsiaTheme="minorEastAsia"/>
          <w:sz w:val="32"/>
          <w:szCs w:val="32"/>
        </w:rPr>
        <w:instrText xml:space="preserve"> </w:instrText>
      </w:r>
      <w:r>
        <w:rPr>
          <w:rFonts w:hint="eastAsia" w:asciiTheme="minorEastAsia" w:hAnsiTheme="minorEastAsia" w:eastAsiaTheme="minorEastAsia"/>
          <w:sz w:val="32"/>
          <w:szCs w:val="32"/>
        </w:rPr>
        <w:instrText xml:space="preserve">= 1 \* GB2</w:instrText>
      </w:r>
      <w:r>
        <w:rPr>
          <w:rFonts w:asciiTheme="minorEastAsia" w:hAnsiTheme="minorEastAsia" w:eastAsiaTheme="minorEastAsia"/>
          <w:sz w:val="32"/>
          <w:szCs w:val="32"/>
        </w:rPr>
        <w:instrText xml:space="preserve"> </w:instrText>
      </w:r>
      <w:r>
        <w:rPr>
          <w:rFonts w:asciiTheme="minorEastAsia" w:hAnsiTheme="minorEastAsia" w:eastAsiaTheme="minorEastAsia"/>
          <w:sz w:val="32"/>
          <w:szCs w:val="32"/>
        </w:rPr>
        <w:fldChar w:fldCharType="separate"/>
      </w:r>
      <w:r>
        <w:rPr>
          <w:rFonts w:hint="eastAsia" w:asciiTheme="minorEastAsia" w:hAnsiTheme="minorEastAsia" w:eastAsiaTheme="minorEastAsia"/>
          <w:sz w:val="32"/>
          <w:szCs w:val="32"/>
        </w:rPr>
        <w:t>⑴</w:t>
      </w:r>
      <w:r>
        <w:rPr>
          <w:rFonts w:asciiTheme="minorEastAsia" w:hAnsiTheme="minorEastAsia" w:eastAsiaTheme="minorEastAsia"/>
          <w:sz w:val="32"/>
          <w:szCs w:val="32"/>
        </w:rPr>
        <w:fldChar w:fldCharType="end"/>
      </w:r>
      <w:r>
        <w:rPr>
          <w:rFonts w:hint="eastAsia" w:asciiTheme="minorEastAsia" w:hAnsiTheme="minorEastAsia" w:eastAsiaTheme="minorEastAsia"/>
          <w:sz w:val="32"/>
          <w:szCs w:val="32"/>
        </w:rPr>
        <w:t>机关事业单位基本养老保险缴费支出12.75万元，比2019年减少24.99万元，减少66.22%，原因是2019年在职人员社保基金清算补缴了部分差额款，2020年没有此项开支。</w:t>
      </w:r>
      <w:r>
        <w:rPr>
          <w:rFonts w:asciiTheme="minorEastAsia" w:hAnsiTheme="minorEastAsia" w:eastAsiaTheme="minorEastAsia"/>
          <w:sz w:val="32"/>
          <w:szCs w:val="32"/>
        </w:rPr>
        <w:fldChar w:fldCharType="begin"/>
      </w:r>
      <w:r>
        <w:rPr>
          <w:rFonts w:asciiTheme="minorEastAsia" w:hAnsiTheme="minorEastAsia" w:eastAsiaTheme="minorEastAsia"/>
          <w:sz w:val="32"/>
          <w:szCs w:val="32"/>
        </w:rPr>
        <w:instrText xml:space="preserve"> </w:instrText>
      </w:r>
      <w:r>
        <w:rPr>
          <w:rFonts w:hint="eastAsia" w:asciiTheme="minorEastAsia" w:hAnsiTheme="minorEastAsia" w:eastAsiaTheme="minorEastAsia"/>
          <w:sz w:val="32"/>
          <w:szCs w:val="32"/>
        </w:rPr>
        <w:instrText xml:space="preserve">= 2 \* GB2</w:instrText>
      </w:r>
      <w:r>
        <w:rPr>
          <w:rFonts w:asciiTheme="minorEastAsia" w:hAnsiTheme="minorEastAsia" w:eastAsiaTheme="minorEastAsia"/>
          <w:sz w:val="32"/>
          <w:szCs w:val="32"/>
        </w:rPr>
        <w:instrText xml:space="preserve"> </w:instrText>
      </w:r>
      <w:r>
        <w:rPr>
          <w:rFonts w:asciiTheme="minorEastAsia" w:hAnsiTheme="minorEastAsia" w:eastAsiaTheme="minorEastAsia"/>
          <w:sz w:val="32"/>
          <w:szCs w:val="32"/>
        </w:rPr>
        <w:fldChar w:fldCharType="separate"/>
      </w:r>
      <w:r>
        <w:rPr>
          <w:rFonts w:hint="eastAsia" w:asciiTheme="minorEastAsia" w:hAnsiTheme="minorEastAsia" w:eastAsiaTheme="minorEastAsia"/>
          <w:sz w:val="32"/>
          <w:szCs w:val="32"/>
        </w:rPr>
        <w:t>⑵</w:t>
      </w:r>
      <w:r>
        <w:rPr>
          <w:rFonts w:asciiTheme="minorEastAsia" w:hAnsiTheme="minorEastAsia" w:eastAsiaTheme="minorEastAsia"/>
          <w:sz w:val="32"/>
          <w:szCs w:val="32"/>
        </w:rPr>
        <w:fldChar w:fldCharType="end"/>
      </w:r>
      <w:r>
        <w:rPr>
          <w:rFonts w:hint="eastAsia" w:asciiTheme="minorEastAsia" w:hAnsiTheme="minorEastAsia" w:eastAsiaTheme="minorEastAsia"/>
          <w:sz w:val="32"/>
          <w:szCs w:val="32"/>
        </w:rPr>
        <w:t xml:space="preserve"> 机关事业单位职业年金缴费支出6.39万元，比去年增加0.76万元，增加13.50%，差异是因为2020年新增2名员工缴费基数提高引起。</w:t>
      </w:r>
      <w:r>
        <w:rPr>
          <w:rFonts w:asciiTheme="minorEastAsia" w:hAnsiTheme="minorEastAsia" w:eastAsiaTheme="minorEastAsia"/>
          <w:sz w:val="32"/>
          <w:szCs w:val="32"/>
        </w:rPr>
        <w:fldChar w:fldCharType="begin"/>
      </w:r>
      <w:r>
        <w:rPr>
          <w:rFonts w:asciiTheme="minorEastAsia" w:hAnsiTheme="minorEastAsia" w:eastAsiaTheme="minorEastAsia"/>
          <w:sz w:val="32"/>
          <w:szCs w:val="32"/>
        </w:rPr>
        <w:instrText xml:space="preserve"> </w:instrText>
      </w:r>
      <w:r>
        <w:rPr>
          <w:rFonts w:hint="eastAsia" w:asciiTheme="minorEastAsia" w:hAnsiTheme="minorEastAsia" w:eastAsiaTheme="minorEastAsia"/>
          <w:sz w:val="32"/>
          <w:szCs w:val="32"/>
        </w:rPr>
        <w:instrText xml:space="preserve">= 3 \* GB2</w:instrText>
      </w:r>
      <w:r>
        <w:rPr>
          <w:rFonts w:asciiTheme="minorEastAsia" w:hAnsiTheme="minorEastAsia" w:eastAsiaTheme="minorEastAsia"/>
          <w:sz w:val="32"/>
          <w:szCs w:val="32"/>
        </w:rPr>
        <w:instrText xml:space="preserve"> </w:instrText>
      </w:r>
      <w:r>
        <w:rPr>
          <w:rFonts w:asciiTheme="minorEastAsia" w:hAnsiTheme="minorEastAsia" w:eastAsiaTheme="minorEastAsia"/>
          <w:sz w:val="32"/>
          <w:szCs w:val="32"/>
        </w:rPr>
        <w:fldChar w:fldCharType="separate"/>
      </w:r>
      <w:r>
        <w:rPr>
          <w:rFonts w:hint="eastAsia" w:asciiTheme="minorEastAsia" w:hAnsiTheme="minorEastAsia" w:eastAsiaTheme="minorEastAsia"/>
          <w:sz w:val="32"/>
          <w:szCs w:val="32"/>
        </w:rPr>
        <w:t>⑶</w:t>
      </w:r>
      <w:r>
        <w:rPr>
          <w:rFonts w:asciiTheme="minorEastAsia" w:hAnsiTheme="minorEastAsia" w:eastAsiaTheme="minorEastAsia"/>
          <w:sz w:val="32"/>
          <w:szCs w:val="32"/>
        </w:rPr>
        <w:fldChar w:fldCharType="end"/>
      </w:r>
      <w:r>
        <w:rPr>
          <w:rFonts w:hint="eastAsia" w:asciiTheme="minorEastAsia" w:hAnsiTheme="minorEastAsia" w:eastAsiaTheme="minorEastAsia"/>
          <w:sz w:val="32"/>
          <w:szCs w:val="32"/>
        </w:rPr>
        <w:t>2020年没有发生事业单位离退休经费开支，比2019年减少0.12万元，减少100%。</w:t>
      </w:r>
    </w:p>
    <w:p>
      <w:pPr>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（三）卫生健康支出类5.86万元，较2019年度决算数同比增加0.84万元，增加16.73%，用于为本单位职工缴纳医疗保险。增加主要原因是2020年新增在职在编职工2人引起基本医疗保险缴费支出增加。</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四）住房保障支出类9.46万元，较2019年度决算增加0.91万元，增加10.64%，用于为本单位职工缴纳住房公积金。增加的主要原因是2020年住房公积金较2019年增加0.91万元，增加10.64%，住房公积金缴费增加的原因是因为2020年新增2名在职在编员工引起缴费增加。</w:t>
      </w:r>
    </w:p>
    <w:p>
      <w:pPr>
        <w:ind w:firstLine="642"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三、2020年度一般公共预算财政拨款基本支出决算情况</w:t>
      </w:r>
    </w:p>
    <w:p>
      <w:pPr>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2020年度一般公共预算财政拨款基本支出142.75万元，较2019年137.96万元增加4.79万元，增长3.47%，其中人员经费138.38万元，主要包括：基本工资、津贴补贴、奖金、社会保障缴费、住房公积金、退休费以及其他对个人和家庭的补助；公用经费4.37万元，主要包括：办公费、印刷费、手续费、水电费、邮电费、差旅费、维修（护）费、会议费、培训费、劳务费、工会经费、福利费、其他交通费以及其他商品和服务支出。2020年基本支出—工资及福利支出134.41万元，比上年度增加5.01万元，增长3.87%。增长的原因为：2020年度新增2位在职在编员工，应发工资总额提高，社保缴费及其他工资福利支出相应提高导致。2020年基本支出—商品和服务支出4.37万元，较上年度减少2.53万元，减少36.67%，主要是办公费、维修维护费、工会经费、福利费、其他交通费、其他商品和服务支出减少。2020年基本支出—对个人和家庭的补助支出3.97万元，比上年度增加2.32万元，增加1.41%，主要是退休费和其他对个人和家庭的补助支出增加导致。</w:t>
      </w:r>
    </w:p>
    <w:p>
      <w:pPr>
        <w:ind w:firstLine="642"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四、2020年度政府性基金支出决算情况</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广西壮族自治区人力资源和社会保障宣传中心2020年度政府性基金支出0万元，其中基本支出0万元，项目支出0万元。</w:t>
      </w:r>
    </w:p>
    <w:p>
      <w:pPr>
        <w:ind w:firstLine="642"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五、2020年度国有资本经营预算财政拨款支出决算情况</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广西壮族自治区人力资源和社会保障宣传中心2020年度国有资本经营预算支出0万元，其中基本支出0万元，项目支出0万元。</w:t>
      </w:r>
    </w:p>
    <w:p>
      <w:pPr>
        <w:ind w:firstLine="642" w:firstLineChars="200"/>
        <w:rPr>
          <w:rFonts w:asciiTheme="minorEastAsia" w:hAnsiTheme="minorEastAsia" w:eastAsiaTheme="minorEastAsia"/>
          <w:sz w:val="32"/>
          <w:szCs w:val="32"/>
        </w:rPr>
      </w:pPr>
      <w:r>
        <w:rPr>
          <w:rFonts w:hint="eastAsia" w:asciiTheme="minorEastAsia" w:hAnsiTheme="minorEastAsia" w:eastAsiaTheme="minorEastAsia"/>
          <w:b/>
          <w:sz w:val="32"/>
          <w:szCs w:val="32"/>
        </w:rPr>
        <w:t>六、一般公共预算财政拨款“三公”经费支出决算情况</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asciiTheme="minorEastAsia" w:hAnsiTheme="minorEastAsia" w:eastAsiaTheme="minorEastAsia"/>
          <w:sz w:val="32"/>
          <w:szCs w:val="32"/>
        </w:rPr>
        <w:t>2020年度一般公共预算财政拨款安排的“三公”经费支出决算中，2020年公共财政资金安排的“三公经费”支出0.06万元，比去年0.14万元减少0.08万元，减少57.14%，为公务接待费减少开支导致。“三公”经费年初部门预算0.1万元，预算执行率为60%，</w:t>
      </w:r>
      <w:r>
        <w:rPr>
          <w:rFonts w:hint="eastAsia" w:cs="仿宋_GB2312" w:asciiTheme="minorEastAsia" w:hAnsiTheme="minorEastAsia" w:eastAsiaTheme="minorEastAsia"/>
          <w:kern w:val="0"/>
          <w:sz w:val="32"/>
          <w:szCs w:val="32"/>
        </w:rPr>
        <w:t>具体原因如下：</w:t>
      </w:r>
    </w:p>
    <w:p>
      <w:pPr>
        <w:autoSpaceDE w:val="0"/>
        <w:autoSpaceDN w:val="0"/>
        <w:adjustRightInd w:val="0"/>
        <w:spacing w:line="560" w:lineRule="exact"/>
        <w:ind w:firstLine="640" w:firstLineChars="200"/>
        <w:jc w:val="left"/>
        <w:rPr>
          <w:rFonts w:asciiTheme="minorEastAsia" w:hAnsiTheme="minorEastAsia" w:eastAsiaTheme="minorEastAsia"/>
          <w:bCs/>
          <w:color w:val="000000"/>
          <w:sz w:val="32"/>
          <w:szCs w:val="32"/>
        </w:rPr>
      </w:pPr>
      <w:r>
        <w:rPr>
          <w:rFonts w:hint="eastAsia" w:cs="仿宋_GB2312" w:asciiTheme="minorEastAsia" w:hAnsiTheme="minorEastAsia" w:eastAsiaTheme="minorEastAsia"/>
          <w:kern w:val="0"/>
          <w:sz w:val="32"/>
          <w:szCs w:val="32"/>
        </w:rPr>
        <w:t>（一）</w:t>
      </w:r>
      <w:r>
        <w:rPr>
          <w:rFonts w:hint="eastAsia" w:cs="仿宋_GB2312" w:asciiTheme="minorEastAsia" w:hAnsiTheme="minorEastAsia" w:eastAsiaTheme="minorEastAsia"/>
          <w:sz w:val="32"/>
          <w:szCs w:val="32"/>
        </w:rPr>
        <w:t>2020年</w:t>
      </w:r>
      <w:r>
        <w:rPr>
          <w:rFonts w:hint="eastAsia" w:cs="仿宋_GB2312" w:asciiTheme="minorEastAsia" w:hAnsiTheme="minorEastAsia" w:eastAsiaTheme="minorEastAsia"/>
          <w:kern w:val="0"/>
          <w:sz w:val="32"/>
          <w:szCs w:val="32"/>
        </w:rPr>
        <w:t>因公出国（境）费支出0万元，2020年</w:t>
      </w:r>
      <w:r>
        <w:rPr>
          <w:rFonts w:hint="eastAsia" w:cs="仿宋_GB2312" w:asciiTheme="minorEastAsia" w:hAnsiTheme="minorEastAsia" w:eastAsiaTheme="minorEastAsia"/>
          <w:sz w:val="32"/>
          <w:szCs w:val="32"/>
        </w:rPr>
        <w:t>因公出国（境）团组数为0组，出国（境）人数为0人</w:t>
      </w:r>
      <w:r>
        <w:rPr>
          <w:rFonts w:hint="eastAsia" w:cs="仿宋_GB2312" w:asciiTheme="minorEastAsia" w:hAnsiTheme="minorEastAsia" w:eastAsiaTheme="minorEastAsia"/>
          <w:kern w:val="0"/>
          <w:sz w:val="32"/>
          <w:szCs w:val="32"/>
        </w:rPr>
        <w:t>，</w:t>
      </w:r>
      <w:r>
        <w:rPr>
          <w:rFonts w:hint="eastAsia" w:cs="仿宋_GB2312" w:asciiTheme="minorEastAsia" w:hAnsiTheme="minorEastAsia" w:eastAsiaTheme="minorEastAsia"/>
          <w:sz w:val="32"/>
          <w:szCs w:val="32"/>
        </w:rPr>
        <w:t>与2019年度相比较上下年无变化，主要原因：我单位没有因公出国（境）业务项目开展及年初无</w:t>
      </w:r>
      <w:r>
        <w:rPr>
          <w:rFonts w:hint="eastAsia" w:cs="仿宋_GB2312" w:asciiTheme="minorEastAsia" w:hAnsiTheme="minorEastAsia" w:eastAsiaTheme="minorEastAsia"/>
          <w:kern w:val="0"/>
          <w:sz w:val="32"/>
          <w:szCs w:val="32"/>
        </w:rPr>
        <w:t>因公出国（境）费支出</w:t>
      </w:r>
      <w:r>
        <w:rPr>
          <w:rFonts w:hint="eastAsia" w:cs="仿宋_GB2312" w:asciiTheme="minorEastAsia" w:hAnsiTheme="minorEastAsia" w:eastAsiaTheme="minorEastAsia"/>
          <w:sz w:val="32"/>
          <w:szCs w:val="32"/>
        </w:rPr>
        <w:t>预算</w:t>
      </w:r>
      <w:r>
        <w:rPr>
          <w:rFonts w:hint="eastAsia" w:cs="仿宋_GB2312" w:asciiTheme="minorEastAsia" w:hAnsiTheme="minorEastAsia" w:eastAsiaTheme="minorEastAsia"/>
          <w:kern w:val="0"/>
          <w:sz w:val="32"/>
          <w:szCs w:val="32"/>
        </w:rPr>
        <w:t>。</w:t>
      </w:r>
    </w:p>
    <w:p>
      <w:pPr>
        <w:autoSpaceDE w:val="0"/>
        <w:autoSpaceDN w:val="0"/>
        <w:adjustRightInd w:val="0"/>
        <w:spacing w:line="560" w:lineRule="exact"/>
        <w:ind w:firstLine="640" w:firstLineChars="200"/>
        <w:jc w:val="left"/>
        <w:rPr>
          <w:rFonts w:asciiTheme="minorEastAsia" w:hAnsiTheme="minorEastAsia" w:eastAsiaTheme="minorEastAsia"/>
          <w:bCs/>
          <w:color w:val="000000"/>
          <w:sz w:val="32"/>
          <w:szCs w:val="32"/>
        </w:rPr>
      </w:pPr>
      <w:r>
        <w:rPr>
          <w:rFonts w:hint="eastAsia" w:cs="仿宋_GB2312" w:asciiTheme="minorEastAsia" w:hAnsiTheme="minorEastAsia" w:eastAsiaTheme="minorEastAsia"/>
          <w:kern w:val="0"/>
          <w:sz w:val="32"/>
          <w:szCs w:val="32"/>
        </w:rPr>
        <w:t>（二）公务用车购置及运行费支出0万元。其中：公务用车购置支出0万元，</w:t>
      </w:r>
      <w:r>
        <w:rPr>
          <w:rFonts w:hint="eastAsia" w:asciiTheme="minorEastAsia" w:hAnsiTheme="minorEastAsia" w:eastAsiaTheme="minorEastAsia"/>
          <w:bCs/>
          <w:color w:val="000000"/>
          <w:sz w:val="32"/>
          <w:szCs w:val="32"/>
        </w:rPr>
        <w:t>公务用车保有量为0辆，全年公务用车运行费支出为0万元，年初无公务用车经费预算拨款，无预算执行率可比较。原因：因为公务用车改革后我单位不再持有公务用车，年度内也没有安排公务用车经费预算拨款。</w:t>
      </w:r>
    </w:p>
    <w:p>
      <w:pPr>
        <w:ind w:firstLine="800" w:firstLineChars="250"/>
        <w:jc w:val="left"/>
        <w:rPr>
          <w:rFonts w:asciiTheme="minorEastAsia" w:hAnsiTheme="minorEastAsia" w:eastAsiaTheme="minorEastAsia"/>
          <w:sz w:val="32"/>
          <w:szCs w:val="32"/>
        </w:rPr>
      </w:pPr>
      <w:r>
        <w:rPr>
          <w:rFonts w:hint="eastAsia" w:cs="仿宋_GB2312" w:asciiTheme="minorEastAsia" w:hAnsiTheme="minorEastAsia" w:eastAsiaTheme="minorEastAsia"/>
          <w:kern w:val="0"/>
          <w:sz w:val="32"/>
          <w:szCs w:val="32"/>
        </w:rPr>
        <w:t>（三）2020年全年公务接待费支出为0.06万元，国内公务接待批次为1次，国内公务接待人数为3人次。</w:t>
      </w:r>
    </w:p>
    <w:p>
      <w:pPr>
        <w:ind w:firstLine="642"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七、其他重要事项情况说明</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(一)</w:t>
      </w:r>
      <w:r>
        <w:rPr>
          <w:rFonts w:hint="eastAsia" w:asciiTheme="minorEastAsia" w:hAnsiTheme="minorEastAsia" w:eastAsiaTheme="minorEastAsia"/>
        </w:rPr>
        <w:t xml:space="preserve"> </w:t>
      </w:r>
      <w:r>
        <w:rPr>
          <w:rFonts w:hint="eastAsia" w:cs="仿宋_GB2312" w:asciiTheme="minorEastAsia" w:hAnsiTheme="minorEastAsia" w:eastAsiaTheme="minorEastAsia"/>
          <w:kern w:val="0"/>
          <w:sz w:val="32"/>
          <w:szCs w:val="32"/>
        </w:rPr>
        <w:t>机关运行经费支出情况说明</w:t>
      </w:r>
    </w:p>
    <w:p>
      <w:pPr>
        <w:autoSpaceDE w:val="0"/>
        <w:autoSpaceDN w:val="0"/>
        <w:adjustRightInd w:val="0"/>
        <w:spacing w:line="560" w:lineRule="exact"/>
        <w:ind w:firstLine="640" w:firstLineChars="200"/>
        <w:jc w:val="left"/>
        <w:rPr>
          <w:rFonts w:asciiTheme="minorEastAsia" w:hAnsiTheme="minorEastAsia" w:eastAsiaTheme="minorEastAsia"/>
          <w:b/>
          <w:sz w:val="32"/>
          <w:szCs w:val="32"/>
        </w:rPr>
      </w:pPr>
      <w:r>
        <w:rPr>
          <w:rFonts w:hint="eastAsia" w:cs="仿宋_GB2312" w:asciiTheme="minorEastAsia" w:hAnsiTheme="minorEastAsia" w:eastAsiaTheme="minorEastAsia"/>
          <w:kern w:val="0"/>
          <w:sz w:val="32"/>
          <w:szCs w:val="32"/>
        </w:rPr>
        <w:t>2020年我单位机关运行经费支出为0万元，与2019年度相比较无变化。主要原因是：我单位是公益一类事业单位，没有机关运行经费发生。</w:t>
      </w:r>
    </w:p>
    <w:p>
      <w:pPr>
        <w:ind w:firstLine="481"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 xml:space="preserve">（二）政府采购支出情况说明 </w:t>
      </w:r>
    </w:p>
    <w:p>
      <w:pPr>
        <w:ind w:firstLine="640" w:firstLineChars="200"/>
        <w:rPr>
          <w:rFonts w:asciiTheme="minorEastAsia" w:hAnsiTheme="minorEastAsia" w:eastAsiaTheme="minorEastAsia"/>
          <w:sz w:val="32"/>
          <w:szCs w:val="32"/>
        </w:rPr>
      </w:pPr>
      <w:r>
        <w:rPr>
          <w:rFonts w:hint="eastAsia" w:cs="仿宋_GB2312" w:asciiTheme="minorEastAsia" w:hAnsiTheme="minorEastAsia" w:eastAsiaTheme="minorEastAsia"/>
          <w:kern w:val="0"/>
          <w:sz w:val="32"/>
          <w:szCs w:val="32"/>
        </w:rPr>
        <w:t>2020年我单位政府采购支出总额136万元，</w:t>
      </w:r>
      <w:r>
        <w:rPr>
          <w:rFonts w:hint="eastAsia" w:asciiTheme="minorEastAsia" w:hAnsiTheme="minorEastAsia" w:eastAsiaTheme="minorEastAsia"/>
          <w:sz w:val="32"/>
          <w:szCs w:val="32"/>
        </w:rPr>
        <w:t>严格按照政府采购各项要求，认真贯彻落实《政府采购法》和各项规章制度，坚持依法采购，厉行勤俭节约，加强监督管理，圆满完成了全年采购任务。</w:t>
      </w:r>
      <w:r>
        <w:rPr>
          <w:rFonts w:hint="eastAsia" w:cs="仿宋_GB2312" w:asciiTheme="minorEastAsia" w:hAnsiTheme="minorEastAsia" w:eastAsiaTheme="minorEastAsia"/>
          <w:kern w:val="0"/>
          <w:sz w:val="32"/>
          <w:szCs w:val="32"/>
        </w:rPr>
        <w:t>其中：政府采购合同授予情况，2020年采购所属性质都是国内企业，授予中型企业的合同占比在40.44%，采购金额55万元；授予大型企业的合同占比在59.56%，采购大型企业合同金额81万元，与2019年相比，采购金额减少了43万元，减少24.02%，</w:t>
      </w:r>
      <w:r>
        <w:rPr>
          <w:rFonts w:hint="eastAsia" w:asciiTheme="minorEastAsia" w:hAnsiTheme="minorEastAsia" w:eastAsiaTheme="minorEastAsia"/>
          <w:sz w:val="32"/>
          <w:szCs w:val="32"/>
        </w:rPr>
        <w:t>减少的原因是2020年度</w:t>
      </w:r>
      <w:r>
        <w:rPr>
          <w:rFonts w:hint="eastAsia" w:cs="仿宋_GB2312" w:asciiTheme="minorEastAsia" w:hAnsiTheme="minorEastAsia" w:eastAsiaTheme="minorEastAsia"/>
          <w:sz w:val="32"/>
          <w:szCs w:val="32"/>
        </w:rPr>
        <w:t>落实政府过紧日子要求，我单位大力压减一般性支出</w:t>
      </w:r>
      <w:r>
        <w:rPr>
          <w:rFonts w:hint="eastAsia" w:cs="仿宋_GB2312" w:asciiTheme="minorEastAsia" w:hAnsiTheme="minorEastAsia" w:eastAsiaTheme="minorEastAsia"/>
          <w:kern w:val="0"/>
          <w:sz w:val="32"/>
          <w:szCs w:val="32"/>
        </w:rPr>
        <w:t>，统一按10%的比例压减项目资金，2020年相应项目经费开支减少。</w:t>
      </w:r>
    </w:p>
    <w:p>
      <w:pPr>
        <w:ind w:firstLine="803"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（三）国有资产占用情况说明</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1.截至2020年12月31日，我单位资产总额5.94万元,</w:t>
      </w:r>
      <w:r>
        <w:rPr>
          <w:rFonts w:hint="eastAsia" w:cs="楷体" w:asciiTheme="minorEastAsia" w:hAnsiTheme="minorEastAsia" w:eastAsiaTheme="minorEastAsia"/>
          <w:sz w:val="32"/>
          <w:szCs w:val="32"/>
        </w:rPr>
        <w:t xml:space="preserve"> </w:t>
      </w:r>
      <w:r>
        <w:rPr>
          <w:rFonts w:hint="eastAsia" w:cs="仿宋_GB2312" w:asciiTheme="minorEastAsia" w:hAnsiTheme="minorEastAsia" w:eastAsiaTheme="minorEastAsia"/>
          <w:kern w:val="0"/>
          <w:sz w:val="32"/>
          <w:szCs w:val="32"/>
        </w:rPr>
        <w:t>主要由以下几部分构成：流动资产5.94万元，主要为银行存款，占资产总额100%；较2019年减少47.40万元，减少88.86%，主要是因为</w:t>
      </w:r>
      <w:r>
        <w:rPr>
          <w:rFonts w:cs="仿宋_GB2312" w:asciiTheme="minorEastAsia" w:hAnsiTheme="minorEastAsia" w:eastAsiaTheme="minorEastAsia"/>
          <w:kern w:val="0"/>
          <w:sz w:val="32"/>
          <w:szCs w:val="32"/>
        </w:rPr>
        <w:t>单位年末列支结转下年的基本支出和项目支出指标减少，年末财政应返还额度相应减少</w:t>
      </w:r>
      <w:r>
        <w:rPr>
          <w:rFonts w:hint="eastAsia" w:cs="仿宋_GB2312" w:asciiTheme="minorEastAsia" w:hAnsiTheme="minorEastAsia" w:eastAsiaTheme="minorEastAsia"/>
          <w:kern w:val="0"/>
          <w:sz w:val="32"/>
          <w:szCs w:val="32"/>
        </w:rPr>
        <w:t>到零</w:t>
      </w:r>
      <w:r>
        <w:rPr>
          <w:rFonts w:cs="仿宋_GB2312" w:asciiTheme="minorEastAsia" w:hAnsiTheme="minorEastAsia" w:eastAsiaTheme="minorEastAsia"/>
          <w:kern w:val="0"/>
          <w:sz w:val="32"/>
          <w:szCs w:val="32"/>
        </w:rPr>
        <w:t>，导致资产</w:t>
      </w:r>
      <w:r>
        <w:rPr>
          <w:rFonts w:hint="eastAsia" w:cs="仿宋_GB2312" w:asciiTheme="minorEastAsia" w:hAnsiTheme="minorEastAsia" w:eastAsiaTheme="minorEastAsia"/>
          <w:kern w:val="0"/>
          <w:sz w:val="32"/>
          <w:szCs w:val="32"/>
        </w:rPr>
        <w:t>大幅</w:t>
      </w:r>
      <w:r>
        <w:rPr>
          <w:rFonts w:cs="仿宋_GB2312" w:asciiTheme="minorEastAsia" w:hAnsiTheme="minorEastAsia" w:eastAsiaTheme="minorEastAsia"/>
          <w:kern w:val="0"/>
          <w:sz w:val="32"/>
          <w:szCs w:val="32"/>
        </w:rPr>
        <w:t>减少</w:t>
      </w:r>
      <w:r>
        <w:rPr>
          <w:rFonts w:hint="eastAsia" w:cs="仿宋_GB2312" w:asciiTheme="minorEastAsia" w:hAnsiTheme="minorEastAsia" w:eastAsiaTheme="minorEastAsia"/>
          <w:kern w:val="0"/>
          <w:sz w:val="32"/>
          <w:szCs w:val="32"/>
        </w:rPr>
        <w:t>。经认真统计、对比，我单位填报的2020年度部门决算报表数据与资产情况报表数据相符，资产状况良好。</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2.我单位无车辆。</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3.我单位无土地产权和办公用房。</w:t>
      </w:r>
    </w:p>
    <w:p>
      <w:pPr>
        <w:autoSpaceDE w:val="0"/>
        <w:autoSpaceDN w:val="0"/>
        <w:adjustRightInd w:val="0"/>
        <w:spacing w:line="560" w:lineRule="exact"/>
        <w:ind w:firstLine="642" w:firstLineChars="200"/>
        <w:jc w:val="left"/>
        <w:rPr>
          <w:rFonts w:cs="仿宋_GB2312" w:asciiTheme="minorEastAsia" w:hAnsiTheme="minorEastAsia" w:eastAsiaTheme="minorEastAsia"/>
          <w:b/>
          <w:kern w:val="0"/>
          <w:sz w:val="32"/>
          <w:szCs w:val="32"/>
        </w:rPr>
      </w:pPr>
      <w:r>
        <w:rPr>
          <w:rFonts w:hint="eastAsia" w:cs="仿宋_GB2312" w:asciiTheme="minorEastAsia" w:hAnsiTheme="minorEastAsia" w:eastAsiaTheme="minorEastAsia"/>
          <w:b/>
          <w:kern w:val="0"/>
          <w:sz w:val="32"/>
          <w:szCs w:val="32"/>
        </w:rPr>
        <w:t>（四）重点项目预算绩效管理工作开展情况</w:t>
      </w:r>
    </w:p>
    <w:p>
      <w:pPr>
        <w:autoSpaceDE w:val="0"/>
        <w:autoSpaceDN w:val="0"/>
        <w:adjustRightInd w:val="0"/>
        <w:spacing w:line="560" w:lineRule="exact"/>
        <w:ind w:firstLine="640" w:firstLineChars="200"/>
        <w:jc w:val="left"/>
        <w:rPr>
          <w:rFonts w:cs="仿宋_GB2312" w:asciiTheme="minorEastAsia" w:hAnsiTheme="minorEastAsia" w:eastAsiaTheme="minorEastAsia"/>
          <w:bCs/>
          <w:sz w:val="32"/>
          <w:szCs w:val="32"/>
        </w:rPr>
      </w:pPr>
      <w:r>
        <w:rPr>
          <w:rFonts w:hint="eastAsia" w:cs="仿宋_GB2312" w:asciiTheme="minorEastAsia" w:hAnsiTheme="minorEastAsia" w:eastAsiaTheme="minorEastAsia"/>
          <w:bCs/>
          <w:sz w:val="32"/>
          <w:szCs w:val="32"/>
        </w:rPr>
        <w:t>由于我单位2020年度没有重要项目开展，因此2020年我单位没有</w:t>
      </w:r>
      <w:r>
        <w:rPr>
          <w:rFonts w:hint="eastAsia" w:cs="仿宋_GB2312" w:asciiTheme="minorEastAsia" w:hAnsiTheme="minorEastAsia" w:eastAsiaTheme="minorEastAsia"/>
          <w:b/>
          <w:kern w:val="0"/>
          <w:sz w:val="32"/>
          <w:szCs w:val="32"/>
        </w:rPr>
        <w:t>重点项目预算绩效管理</w:t>
      </w:r>
      <w:r>
        <w:rPr>
          <w:rFonts w:hint="eastAsia" w:cs="仿宋_GB2312" w:asciiTheme="minorEastAsia" w:hAnsiTheme="minorEastAsia" w:eastAsiaTheme="minorEastAsia"/>
          <w:bCs/>
          <w:sz w:val="32"/>
          <w:szCs w:val="32"/>
        </w:rPr>
        <w:t>绩效自评和再评价公开情况。</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p>
    <w:p>
      <w:pPr>
        <w:autoSpaceDE w:val="0"/>
        <w:autoSpaceDN w:val="0"/>
        <w:adjustRightInd w:val="0"/>
        <w:spacing w:line="560" w:lineRule="exact"/>
        <w:ind w:firstLine="640" w:firstLineChars="200"/>
        <w:jc w:val="center"/>
        <w:rPr>
          <w:rFonts w:ascii="黑体" w:hAnsi="黑体" w:eastAsia="黑体" w:cs="仿宋_GB2312"/>
          <w:kern w:val="0"/>
          <w:sz w:val="32"/>
          <w:szCs w:val="32"/>
        </w:rPr>
      </w:pPr>
      <w:r>
        <w:rPr>
          <w:rFonts w:hint="eastAsia" w:ascii="黑体" w:hAnsi="黑体" w:eastAsia="黑体" w:cs="仿宋_GB2312"/>
          <w:kern w:val="0"/>
          <w:sz w:val="32"/>
          <w:szCs w:val="32"/>
        </w:rPr>
        <w:t>第四部分  名词解释</w:t>
      </w:r>
    </w:p>
    <w:p>
      <w:pPr>
        <w:autoSpaceDE w:val="0"/>
        <w:autoSpaceDN w:val="0"/>
        <w:adjustRightInd w:val="0"/>
        <w:spacing w:line="560" w:lineRule="exact"/>
        <w:ind w:firstLine="640" w:firstLineChars="200"/>
        <w:jc w:val="center"/>
        <w:rPr>
          <w:rFonts w:ascii="黑体" w:hAnsi="黑体" w:eastAsia="黑体" w:cs="仿宋_GB2312"/>
          <w:kern w:val="0"/>
          <w:sz w:val="32"/>
          <w:szCs w:val="32"/>
        </w:rPr>
      </w:pP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一、财政拨款收入：指自治区财政部门当年拨付的资金。 </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二、事业收入：指事业单位开展专业业务活动及辅助活动所取得的收入。</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三、经营收入：指事业单位在专业业务活动及其辅助活动之外开展非独立核算经营活动取得的收入。</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四、其他收入：指除上述“财政拨款收入”、“事业收入”、“经营收入”等以外的收入。</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五、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六、年初结转和结余：指以前年度尚未完成、结转到本年 按有关规定继续使用的资金。 </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七、结余分配：指事业单位按规定提取的职工福利基金、事业基金和缴纳的所得税，以及建设单位按规定应交回的基本建设竣工项目结余资金。 </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八、年末结转和结余：指本年度或以前年度预算安排、因客观条件发生变化无法按原计划实施，需要延迟到以后年度按有关规定继续使用的资金。 </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九、基本支出：指为保障机构正常运转、完成日常工作任务而发生的人员支出和公用支出。 </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十、项目支出：指在基本支出之外为完成特定行政任务和事业发展目标所发生的支出。 </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十一、经营支出：指事业单位在专业业务活动及其辅助活动之外开展非独立核算经营活动发生的支出。</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十二、“三公”经费：纳入自治区财政预决算管理的“三公”经费，是指自治区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十三、事业运行经费：为保障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autoSpaceDE w:val="0"/>
        <w:autoSpaceDN w:val="0"/>
        <w:adjustRightInd w:val="0"/>
        <w:spacing w:line="560" w:lineRule="exact"/>
        <w:ind w:firstLine="140" w:firstLineChars="44"/>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jc w:val="left"/>
        <w:rPr>
          <w:rFonts w:ascii="宋体" w:cs="宋体"/>
          <w:color w:val="000000"/>
          <w:kern w:val="0"/>
          <w:sz w:val="32"/>
          <w:szCs w:val="32"/>
        </w:rPr>
      </w:pPr>
    </w:p>
    <w:p>
      <w:pPr>
        <w:rPr>
          <w:rFonts w:ascii="仿宋_GB2312" w:hAnsi="华文仿宋" w:eastAsia="仿宋_GB2312"/>
          <w:sz w:val="32"/>
          <w:szCs w:val="32"/>
        </w:rPr>
      </w:pPr>
    </w:p>
    <w:sectPr>
      <w:pgSz w:w="16838" w:h="11906" w:orient="landscape"/>
      <w:pgMar w:top="737" w:right="851" w:bottom="851"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UnicodeMS">
    <w:altName w:val="DejaVu Sans"/>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Arial">
    <w:altName w:val="DejaVu Sans"/>
    <w:panose1 w:val="020B0604020202020204"/>
    <w:charset w:val="00"/>
    <w:family w:val="swiss"/>
    <w:pitch w:val="default"/>
    <w:sig w:usb0="00000000" w:usb1="00000000" w:usb2="00000009" w:usb3="00000000" w:csb0="000001FF" w:csb1="00000000"/>
  </w:font>
  <w:font w:name="华文仿宋">
    <w:altName w:val="汉仪仿宋简"/>
    <w:panose1 w:val="02010600040101010101"/>
    <w:charset w:val="86"/>
    <w:family w:val="auto"/>
    <w:pitch w:val="default"/>
    <w:sig w:usb0="00000000" w:usb1="00000000" w:usb2="00000010" w:usb3="00000000" w:csb0="0004009F"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80833"/>
    <w:rsid w:val="000270F6"/>
    <w:rsid w:val="00031A68"/>
    <w:rsid w:val="000A5D1A"/>
    <w:rsid w:val="000C6190"/>
    <w:rsid w:val="000D7DB8"/>
    <w:rsid w:val="00174547"/>
    <w:rsid w:val="00180833"/>
    <w:rsid w:val="00185089"/>
    <w:rsid w:val="001A1815"/>
    <w:rsid w:val="001C5B50"/>
    <w:rsid w:val="001D1143"/>
    <w:rsid w:val="001E6D89"/>
    <w:rsid w:val="00226835"/>
    <w:rsid w:val="00260636"/>
    <w:rsid w:val="00297FDA"/>
    <w:rsid w:val="002B19F1"/>
    <w:rsid w:val="002C2A46"/>
    <w:rsid w:val="002C4412"/>
    <w:rsid w:val="002D270A"/>
    <w:rsid w:val="00320F3B"/>
    <w:rsid w:val="00326AE2"/>
    <w:rsid w:val="003949C7"/>
    <w:rsid w:val="003E1DD7"/>
    <w:rsid w:val="003F5970"/>
    <w:rsid w:val="00405D56"/>
    <w:rsid w:val="00420ED4"/>
    <w:rsid w:val="0046178D"/>
    <w:rsid w:val="004650F7"/>
    <w:rsid w:val="0048349B"/>
    <w:rsid w:val="004C6F50"/>
    <w:rsid w:val="004E0767"/>
    <w:rsid w:val="004E1132"/>
    <w:rsid w:val="00520691"/>
    <w:rsid w:val="00537CB4"/>
    <w:rsid w:val="005A039D"/>
    <w:rsid w:val="005B2879"/>
    <w:rsid w:val="00604B76"/>
    <w:rsid w:val="00630203"/>
    <w:rsid w:val="0065586B"/>
    <w:rsid w:val="00687CF4"/>
    <w:rsid w:val="006E285B"/>
    <w:rsid w:val="00716BFD"/>
    <w:rsid w:val="00762E2E"/>
    <w:rsid w:val="00762E99"/>
    <w:rsid w:val="0076445C"/>
    <w:rsid w:val="007A6566"/>
    <w:rsid w:val="007F4D94"/>
    <w:rsid w:val="00816922"/>
    <w:rsid w:val="00826FBB"/>
    <w:rsid w:val="008C797A"/>
    <w:rsid w:val="00A000C0"/>
    <w:rsid w:val="00A27388"/>
    <w:rsid w:val="00A325C9"/>
    <w:rsid w:val="00A43D55"/>
    <w:rsid w:val="00A976EE"/>
    <w:rsid w:val="00B17E68"/>
    <w:rsid w:val="00B33577"/>
    <w:rsid w:val="00B93159"/>
    <w:rsid w:val="00B97C07"/>
    <w:rsid w:val="00BA4E47"/>
    <w:rsid w:val="00BD4C5C"/>
    <w:rsid w:val="00BD5B60"/>
    <w:rsid w:val="00CA034B"/>
    <w:rsid w:val="00CB6C89"/>
    <w:rsid w:val="00D011A8"/>
    <w:rsid w:val="00D05FE1"/>
    <w:rsid w:val="00D335AD"/>
    <w:rsid w:val="00DE04EB"/>
    <w:rsid w:val="00DE4FB5"/>
    <w:rsid w:val="00E51C9F"/>
    <w:rsid w:val="00E71376"/>
    <w:rsid w:val="00E85527"/>
    <w:rsid w:val="00E87738"/>
    <w:rsid w:val="00EB1050"/>
    <w:rsid w:val="00EC6E91"/>
    <w:rsid w:val="00EE0B5C"/>
    <w:rsid w:val="00F04484"/>
    <w:rsid w:val="00F06E6F"/>
    <w:rsid w:val="00F211E3"/>
    <w:rsid w:val="00FC404F"/>
    <w:rsid w:val="FFFBBD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2082</Words>
  <Characters>11870</Characters>
  <Lines>98</Lines>
  <Paragraphs>27</Paragraphs>
  <TotalTime>490</TotalTime>
  <ScaleCrop>false</ScaleCrop>
  <LinksUpToDate>false</LinksUpToDate>
  <CharactersWithSpaces>13925</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2021-08-24T19:13:00Z</dcterms:created>
  <dc:creator>user</dc:creator>
  <cp:lastModifiedBy>gxxc</cp:lastModifiedBy>
  <dcterms:modified xsi:type="dcterms:W3CDTF">2022-09-08T09:45:12Z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