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hAnsi="黑体" w:eastAsia="黑体"/>
          <w:b/>
          <w:sz w:val="44"/>
          <w:szCs w:val="44"/>
        </w:rPr>
      </w:pPr>
      <w:r>
        <w:rPr>
          <w:rFonts w:hint="eastAsia" w:ascii="黑体" w:hAnsi="黑体" w:eastAsia="黑体"/>
          <w:b/>
          <w:sz w:val="44"/>
          <w:szCs w:val="44"/>
        </w:rPr>
        <w:t>广西壮族自治区人力资源和社会保障</w:t>
      </w:r>
    </w:p>
    <w:p>
      <w:pPr>
        <w:jc w:val="center"/>
        <w:rPr>
          <w:rFonts w:ascii="黑体" w:hAnsi="黑体" w:eastAsia="黑体"/>
          <w:b/>
          <w:sz w:val="44"/>
          <w:szCs w:val="44"/>
        </w:rPr>
      </w:pPr>
    </w:p>
    <w:p>
      <w:pPr>
        <w:jc w:val="center"/>
        <w:rPr>
          <w:rFonts w:ascii="黑体" w:hAnsi="黑体" w:eastAsia="黑体"/>
          <w:b/>
          <w:sz w:val="44"/>
          <w:szCs w:val="44"/>
        </w:rPr>
      </w:pPr>
      <w:r>
        <w:rPr>
          <w:rFonts w:hint="eastAsia" w:ascii="黑体" w:hAnsi="黑体" w:eastAsia="黑体"/>
          <w:b/>
          <w:sz w:val="44"/>
          <w:szCs w:val="44"/>
        </w:rPr>
        <w:t>信息中心2020年部门决算公开</w:t>
      </w:r>
    </w:p>
    <w:p>
      <w:pPr>
        <w:jc w:val="center"/>
        <w:rPr>
          <w:rFonts w:ascii="黑体" w:hAnsi="黑体" w:eastAsia="黑体" w:cs="ArialUnicodeMS"/>
          <w:b/>
          <w:kern w:val="0"/>
          <w:sz w:val="44"/>
          <w:szCs w:val="44"/>
        </w:rPr>
      </w:pPr>
    </w:p>
    <w:p>
      <w:pPr>
        <w:jc w:val="center"/>
        <w:rPr>
          <w:rFonts w:ascii="仿宋" w:hAnsi="仿宋" w:eastAsia="仿宋"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jc w:val="center"/>
        <w:rPr>
          <w:rFonts w:ascii="黑体" w:eastAsia="黑体" w:cs="ArialUnicodeMS"/>
          <w:kern w:val="0"/>
          <w:sz w:val="52"/>
          <w:szCs w:val="5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ind w:firstLine="646"/>
        <w:jc w:val="center"/>
        <w:rPr>
          <w:rFonts w:asciiTheme="minorEastAsia" w:hAnsiTheme="minorEastAsia" w:eastAsiaTheme="minorEastAsia"/>
          <w:b/>
          <w:sz w:val="32"/>
          <w:szCs w:val="32"/>
        </w:rPr>
      </w:pPr>
    </w:p>
    <w:p>
      <w:pPr>
        <w:rPr>
          <w:rFonts w:ascii="黑体" w:hAnsi="黑体" w:eastAsia="黑体"/>
          <w:b/>
          <w:sz w:val="32"/>
          <w:szCs w:val="32"/>
        </w:rPr>
      </w:pPr>
    </w:p>
    <w:p>
      <w:pPr>
        <w:ind w:firstLine="646"/>
        <w:jc w:val="center"/>
        <w:rPr>
          <w:rFonts w:ascii="黑体" w:hAnsi="黑体" w:eastAsia="黑体"/>
          <w:b/>
          <w:sz w:val="32"/>
          <w:szCs w:val="32"/>
        </w:rPr>
      </w:pPr>
      <w:r>
        <w:rPr>
          <w:rFonts w:hint="eastAsia" w:ascii="黑体" w:hAnsi="黑体" w:eastAsia="黑体"/>
          <w:b/>
          <w:sz w:val="32"/>
          <w:szCs w:val="32"/>
        </w:rPr>
        <w:t>目    录</w:t>
      </w:r>
    </w:p>
    <w:p>
      <w:pPr>
        <w:ind w:firstLine="646"/>
        <w:jc w:val="center"/>
        <w:rPr>
          <w:rFonts w:ascii="黑体" w:hAnsi="黑体" w:eastAsia="黑体"/>
          <w:b/>
          <w:sz w:val="32"/>
          <w:szCs w:val="32"/>
        </w:rPr>
      </w:pPr>
    </w:p>
    <w:p>
      <w:pPr>
        <w:ind w:firstLine="646"/>
        <w:jc w:val="left"/>
        <w:rPr>
          <w:rFonts w:ascii="黑体" w:hAnsi="黑体" w:eastAsia="黑体"/>
          <w:b/>
          <w:sz w:val="32"/>
          <w:szCs w:val="32"/>
        </w:rPr>
      </w:pPr>
    </w:p>
    <w:p>
      <w:pPr>
        <w:ind w:left="709" w:leftChars="307" w:hanging="64"/>
        <w:jc w:val="left"/>
        <w:rPr>
          <w:rFonts w:ascii="黑体" w:hAnsi="黑体" w:eastAsia="黑体"/>
          <w:bCs/>
          <w:color w:val="000000"/>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广西壮族自治区人力资源和社会保障信息中心</w:t>
      </w:r>
    </w:p>
    <w:p>
      <w:pPr>
        <w:ind w:left="709" w:leftChars="307" w:hanging="64"/>
        <w:jc w:val="left"/>
        <w:rPr>
          <w:rFonts w:ascii="黑体" w:hAnsi="黑体" w:eastAsia="黑体"/>
          <w:sz w:val="32"/>
          <w:szCs w:val="32"/>
        </w:rPr>
      </w:pPr>
      <w:r>
        <w:rPr>
          <w:rFonts w:hint="eastAsia" w:ascii="黑体" w:hAnsi="黑体" w:eastAsia="黑体"/>
          <w:sz w:val="32"/>
          <w:szCs w:val="32"/>
        </w:rPr>
        <w:t>概况</w:t>
      </w:r>
    </w:p>
    <w:p>
      <w:pPr>
        <w:spacing w:line="560" w:lineRule="exact"/>
        <w:ind w:firstLine="645"/>
        <w:rPr>
          <w:rFonts w:ascii="仿宋_GB2312" w:hAnsi="仿宋" w:eastAsia="仿宋_GB2312"/>
          <w:sz w:val="32"/>
          <w:szCs w:val="32"/>
        </w:rPr>
      </w:pPr>
      <w:r>
        <w:rPr>
          <w:rFonts w:hint="eastAsia" w:ascii="仿宋_GB2312" w:hAnsi="仿宋" w:eastAsia="仿宋_GB2312"/>
          <w:sz w:val="32"/>
          <w:szCs w:val="32"/>
        </w:rPr>
        <w:t>一、主要职能</w:t>
      </w:r>
    </w:p>
    <w:p>
      <w:pPr>
        <w:spacing w:line="560" w:lineRule="exact"/>
        <w:ind w:firstLine="645"/>
        <w:rPr>
          <w:rFonts w:ascii="仿宋_GB2312" w:hAnsi="仿宋" w:eastAsia="仿宋_GB2312"/>
          <w:sz w:val="32"/>
          <w:szCs w:val="32"/>
        </w:rPr>
      </w:pPr>
      <w:r>
        <w:rPr>
          <w:rFonts w:hint="eastAsia" w:ascii="仿宋_GB2312" w:hAnsi="仿宋" w:eastAsia="仿宋_GB2312"/>
          <w:sz w:val="32"/>
          <w:szCs w:val="32"/>
        </w:rPr>
        <w:t>二、部门决算单位构成</w:t>
      </w:r>
    </w:p>
    <w:p>
      <w:pPr>
        <w:spacing w:line="560" w:lineRule="exact"/>
        <w:ind w:firstLine="645"/>
        <w:rPr>
          <w:rFonts w:ascii="黑体" w:hAnsi="黑体" w:eastAsia="黑体"/>
          <w:sz w:val="32"/>
          <w:szCs w:val="32"/>
        </w:rPr>
      </w:pPr>
    </w:p>
    <w:p>
      <w:pPr>
        <w:spacing w:line="560" w:lineRule="exact"/>
        <w:ind w:firstLine="645"/>
        <w:rPr>
          <w:rFonts w:ascii="黑体" w:hAnsi="黑体" w:eastAsia="黑体"/>
          <w:bCs/>
          <w:color w:val="000000"/>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广西壮族自治区人力资源和社会保障</w:t>
      </w:r>
    </w:p>
    <w:p>
      <w:pPr>
        <w:spacing w:line="560" w:lineRule="exact"/>
        <w:ind w:firstLine="480" w:firstLineChars="150"/>
        <w:rPr>
          <w:rFonts w:ascii="黑体" w:hAnsi="黑体" w:eastAsia="黑体"/>
          <w:sz w:val="32"/>
          <w:szCs w:val="32"/>
        </w:rPr>
      </w:pPr>
      <w:r>
        <w:rPr>
          <w:rFonts w:hint="eastAsia" w:ascii="黑体" w:hAnsi="黑体" w:eastAsia="黑体"/>
          <w:bCs/>
          <w:color w:val="000000"/>
          <w:sz w:val="32"/>
          <w:szCs w:val="32"/>
        </w:rPr>
        <w:t xml:space="preserve"> 信息中心</w:t>
      </w:r>
      <w:r>
        <w:rPr>
          <w:rFonts w:hint="eastAsia" w:ascii="黑体" w:hAnsi="黑体" w:eastAsia="黑体"/>
          <w:sz w:val="32"/>
          <w:szCs w:val="32"/>
        </w:rPr>
        <w:t>2020年部门决算报表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表一：收入支出决算总表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表二：收入决算表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表三：支出决算表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表四：财政拨款收入支出决算总表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表五：一般公共预算财政拨款支出决算表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表六：一般公共预算财政拨款基本支出决算表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表七：一般公共预算财政拨款安排的“三公”经费支出决算表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表八：政府性基金预算财政拨款收入支出决算表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表九：国有资本经营预算财政拨款收入支出决算表</w:t>
      </w:r>
    </w:p>
    <w:p>
      <w:pPr>
        <w:spacing w:line="560" w:lineRule="exact"/>
        <w:ind w:left="645"/>
        <w:rPr>
          <w:rFonts w:ascii="仿宋_GB2312" w:hAnsi="仿宋" w:eastAsia="仿宋_GB2312"/>
          <w:sz w:val="32"/>
          <w:szCs w:val="32"/>
        </w:rPr>
      </w:pPr>
      <w:r>
        <w:rPr>
          <w:rFonts w:hint="eastAsia" w:ascii="仿宋_GB2312" w:hAnsi="仿宋" w:eastAsia="仿宋_GB2312"/>
          <w:sz w:val="32"/>
          <w:szCs w:val="32"/>
        </w:rPr>
        <w:t xml:space="preserve"> </w:t>
      </w:r>
    </w:p>
    <w:p>
      <w:pPr>
        <w:spacing w:line="560" w:lineRule="exact"/>
        <w:jc w:val="center"/>
        <w:rPr>
          <w:rFonts w:ascii="黑体" w:hAnsi="黑体" w:eastAsia="黑体"/>
          <w:b/>
          <w:bCs/>
          <w:color w:val="000000"/>
          <w:sz w:val="32"/>
          <w:szCs w:val="32"/>
        </w:rPr>
      </w:pPr>
      <w:r>
        <w:rPr>
          <w:rFonts w:hint="eastAsia" w:ascii="黑体" w:hAnsi="黑体" w:eastAsia="黑体"/>
          <w:b/>
          <w:sz w:val="32"/>
          <w:szCs w:val="32"/>
        </w:rPr>
        <w:t xml:space="preserve">    第三部分：</w:t>
      </w:r>
      <w:r>
        <w:rPr>
          <w:rFonts w:hint="eastAsia" w:ascii="黑体" w:hAnsi="黑体" w:eastAsia="黑体"/>
          <w:b/>
          <w:bCs/>
          <w:color w:val="000000"/>
          <w:sz w:val="32"/>
          <w:szCs w:val="32"/>
        </w:rPr>
        <w:t>广西壮族自治区人力资源和社会保障信息中心</w:t>
      </w:r>
    </w:p>
    <w:p>
      <w:pPr>
        <w:spacing w:line="560" w:lineRule="exact"/>
        <w:ind w:firstLine="629" w:firstLineChars="196"/>
        <w:jc w:val="left"/>
        <w:rPr>
          <w:rFonts w:ascii="黑体" w:hAnsi="黑体" w:eastAsia="黑体"/>
          <w:b/>
          <w:sz w:val="32"/>
          <w:szCs w:val="32"/>
        </w:rPr>
      </w:pPr>
      <w:r>
        <w:rPr>
          <w:rFonts w:hint="eastAsia" w:ascii="黑体" w:hAnsi="黑体" w:eastAsia="黑体"/>
          <w:b/>
          <w:sz w:val="32"/>
          <w:szCs w:val="32"/>
        </w:rPr>
        <w:t>2020年度部门决算情况说明</w:t>
      </w:r>
    </w:p>
    <w:p>
      <w:pPr>
        <w:spacing w:line="560" w:lineRule="exact"/>
        <w:jc w:val="center"/>
        <w:rPr>
          <w:rFonts w:ascii="黑体" w:hAnsi="黑体" w:eastAsia="黑体"/>
          <w:b/>
          <w:sz w:val="32"/>
          <w:szCs w:val="32"/>
        </w:rPr>
      </w:pP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一、</w:t>
      </w:r>
      <w:r>
        <w:rPr>
          <w:rFonts w:hint="eastAsia" w:ascii="仿宋_GB2312" w:hAnsi="仿宋" w:eastAsia="仿宋_GB2312"/>
          <w:kern w:val="0"/>
          <w:sz w:val="32"/>
          <w:szCs w:val="32"/>
        </w:rPr>
        <w:t>2020</w:t>
      </w:r>
      <w:r>
        <w:rPr>
          <w:rFonts w:hint="eastAsia" w:ascii="仿宋_GB2312" w:hAnsi="仿宋" w:eastAsia="仿宋_GB2312" w:cs="仿宋_GB2312"/>
          <w:kern w:val="0"/>
          <w:sz w:val="32"/>
          <w:szCs w:val="32"/>
        </w:rPr>
        <w:t>年度收入支出决算总体情况。</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二、</w:t>
      </w:r>
      <w:r>
        <w:rPr>
          <w:rFonts w:hint="eastAsia" w:ascii="仿宋_GB2312" w:hAnsi="仿宋" w:eastAsia="仿宋_GB2312"/>
          <w:kern w:val="0"/>
          <w:sz w:val="32"/>
          <w:szCs w:val="32"/>
        </w:rPr>
        <w:t>2020</w:t>
      </w:r>
      <w:r>
        <w:rPr>
          <w:rFonts w:hint="eastAsia" w:ascii="仿宋_GB2312" w:hAnsi="仿宋" w:eastAsia="仿宋_GB2312" w:cs="仿宋_GB2312"/>
          <w:kern w:val="0"/>
          <w:sz w:val="32"/>
          <w:szCs w:val="32"/>
        </w:rPr>
        <w:t>年度</w:t>
      </w:r>
      <w:r>
        <w:rPr>
          <w:rFonts w:hint="eastAsia" w:ascii="仿宋_GB2312" w:hAnsi="仿宋" w:eastAsia="仿宋_GB2312"/>
          <w:sz w:val="32"/>
          <w:szCs w:val="32"/>
        </w:rPr>
        <w:t>一般</w:t>
      </w:r>
      <w:r>
        <w:rPr>
          <w:rFonts w:hint="eastAsia" w:ascii="仿宋_GB2312" w:hAnsi="仿宋" w:eastAsia="仿宋_GB2312" w:cs="仿宋_GB2312"/>
          <w:kern w:val="0"/>
          <w:sz w:val="32"/>
          <w:szCs w:val="32"/>
        </w:rPr>
        <w:t>公共预算财政拨款支出决算情况。</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三、2020年度一般公共预算财政拨款基本支出决算情况说明。</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四、</w:t>
      </w:r>
      <w:r>
        <w:rPr>
          <w:rFonts w:hint="eastAsia" w:ascii="仿宋_GB2312" w:hAnsi="仿宋" w:eastAsia="仿宋_GB2312"/>
          <w:kern w:val="0"/>
          <w:sz w:val="32"/>
          <w:szCs w:val="32"/>
        </w:rPr>
        <w:t>2020</w:t>
      </w:r>
      <w:r>
        <w:rPr>
          <w:rFonts w:hint="eastAsia" w:ascii="仿宋_GB2312" w:hAnsi="仿宋" w:eastAsia="仿宋_GB2312" w:cs="仿宋_GB2312"/>
          <w:kern w:val="0"/>
          <w:sz w:val="32"/>
          <w:szCs w:val="32"/>
        </w:rPr>
        <w:t>年度政府性基金支出决算情况。</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五、2020年度国有资本经营预算支出决算情况</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六、2020年度</w:t>
      </w:r>
      <w:r>
        <w:rPr>
          <w:rFonts w:hint="eastAsia" w:ascii="仿宋_GB2312" w:hAnsi="仿宋" w:eastAsia="仿宋_GB2312"/>
          <w:sz w:val="32"/>
          <w:szCs w:val="32"/>
        </w:rPr>
        <w:t>一般</w:t>
      </w:r>
      <w:r>
        <w:rPr>
          <w:rFonts w:hint="eastAsia" w:ascii="仿宋_GB2312" w:hAnsi="仿宋" w:eastAsia="仿宋_GB2312" w:cs="仿宋_GB2312"/>
          <w:kern w:val="0"/>
          <w:sz w:val="32"/>
          <w:szCs w:val="32"/>
        </w:rPr>
        <w:t>公共预算财政拨款安排的“三公”经费支出决算情况说明。</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七、其他重要事项情况说明。</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p>
    <w:p>
      <w:pPr>
        <w:spacing w:line="560" w:lineRule="exact"/>
        <w:ind w:firstLine="640" w:firstLineChars="200"/>
        <w:rPr>
          <w:rFonts w:ascii="黑体" w:hAnsi="黑体" w:eastAsia="黑体" w:cs="仿宋_GB2312"/>
          <w:kern w:val="0"/>
          <w:sz w:val="32"/>
          <w:szCs w:val="32"/>
        </w:rPr>
      </w:pPr>
      <w:r>
        <w:rPr>
          <w:rFonts w:hint="eastAsia" w:ascii="黑体" w:hAnsi="黑体" w:eastAsia="黑体" w:cs="仿宋_GB2312"/>
          <w:kern w:val="0"/>
          <w:sz w:val="32"/>
          <w:szCs w:val="32"/>
        </w:rPr>
        <w:t>第四部分、名词解释。</w:t>
      </w:r>
    </w:p>
    <w:p>
      <w:pPr>
        <w:spacing w:line="560" w:lineRule="exact"/>
        <w:ind w:firstLine="640" w:firstLineChars="200"/>
        <w:rPr>
          <w:rFonts w:ascii="仿宋_GB2312" w:hAnsi="仿宋" w:eastAsia="仿宋_GB2312" w:cs="仿宋_GB2312"/>
          <w:kern w:val="0"/>
          <w:sz w:val="32"/>
          <w:szCs w:val="32"/>
        </w:rPr>
      </w:pPr>
    </w:p>
    <w:p>
      <w:pPr>
        <w:spacing w:line="560" w:lineRule="exact"/>
        <w:ind w:firstLine="640" w:firstLineChars="200"/>
        <w:rPr>
          <w:rFonts w:ascii="仿宋_GB2312" w:hAnsi="仿宋" w:eastAsia="仿宋_GB2312" w:cs="仿宋_GB2312"/>
          <w:kern w:val="0"/>
          <w:sz w:val="32"/>
          <w:szCs w:val="32"/>
        </w:rPr>
      </w:pPr>
    </w:p>
    <w:p>
      <w:pPr>
        <w:spacing w:line="560" w:lineRule="exact"/>
        <w:ind w:firstLine="640" w:firstLineChars="200"/>
        <w:rPr>
          <w:rFonts w:ascii="仿宋_GB2312" w:hAnsi="仿宋" w:eastAsia="仿宋_GB2312" w:cs="仿宋_GB2312"/>
          <w:kern w:val="0"/>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p>
    <w:p>
      <w:pPr>
        <w:spacing w:line="560" w:lineRule="exact"/>
        <w:jc w:val="center"/>
        <w:rPr>
          <w:rFonts w:ascii="黑体" w:hAnsi="黑体" w:eastAsia="黑体"/>
          <w:b/>
          <w:sz w:val="32"/>
          <w:szCs w:val="32"/>
        </w:rPr>
      </w:pPr>
      <w:bookmarkStart w:id="0" w:name="_GoBack"/>
      <w:bookmarkEnd w:id="0"/>
    </w:p>
    <w:p>
      <w:pPr>
        <w:spacing w:line="560" w:lineRule="exact"/>
        <w:jc w:val="center"/>
        <w:rPr>
          <w:rFonts w:ascii="黑体" w:hAnsi="黑体" w:eastAsia="黑体"/>
          <w:sz w:val="32"/>
          <w:szCs w:val="32"/>
        </w:rPr>
      </w:pPr>
      <w:r>
        <w:rPr>
          <w:rFonts w:hint="eastAsia" w:ascii="黑体" w:hAnsi="黑体" w:eastAsia="黑体"/>
          <w:sz w:val="32"/>
          <w:szCs w:val="32"/>
        </w:rPr>
        <w:t>第一部分：</w:t>
      </w:r>
      <w:r>
        <w:rPr>
          <w:rFonts w:hint="eastAsia" w:ascii="黑体" w:hAnsi="黑体" w:eastAsia="黑体"/>
          <w:bCs/>
          <w:color w:val="000000"/>
          <w:sz w:val="32"/>
          <w:szCs w:val="32"/>
        </w:rPr>
        <w:t>广西壮族自治区人力资源和社会保障信息中心</w:t>
      </w:r>
      <w:r>
        <w:rPr>
          <w:rFonts w:hint="eastAsia" w:ascii="黑体" w:hAnsi="黑体" w:eastAsia="黑体"/>
          <w:sz w:val="32"/>
          <w:szCs w:val="32"/>
        </w:rPr>
        <w:t>概况</w:t>
      </w:r>
    </w:p>
    <w:p>
      <w:pPr>
        <w:spacing w:line="560" w:lineRule="exact"/>
        <w:ind w:firstLine="645"/>
        <w:rPr>
          <w:rFonts w:ascii="仿宋_GB2312" w:hAnsi="黑体" w:eastAsia="仿宋_GB2312"/>
          <w:sz w:val="32"/>
          <w:szCs w:val="32"/>
        </w:rPr>
      </w:pPr>
    </w:p>
    <w:p>
      <w:pPr>
        <w:spacing w:line="560" w:lineRule="exact"/>
        <w:ind w:firstLine="645"/>
        <w:rPr>
          <w:rFonts w:ascii="仿宋_GB2312" w:hAnsi="黑体" w:eastAsia="仿宋_GB2312"/>
          <w:b/>
          <w:sz w:val="32"/>
          <w:szCs w:val="32"/>
        </w:rPr>
      </w:pPr>
      <w:r>
        <w:rPr>
          <w:rFonts w:hint="eastAsia" w:ascii="仿宋_GB2312" w:hAnsi="黑体" w:eastAsia="仿宋_GB2312"/>
          <w:b/>
          <w:sz w:val="32"/>
          <w:szCs w:val="32"/>
        </w:rPr>
        <w:t>一、主要职能</w:t>
      </w:r>
    </w:p>
    <w:p>
      <w:pPr>
        <w:spacing w:line="560" w:lineRule="exact"/>
        <w:ind w:left="559" w:leftChars="266" w:firstLine="147" w:firstLineChars="46"/>
        <w:rPr>
          <w:rFonts w:ascii="仿宋_GB2312" w:hAnsi="仿宋" w:eastAsia="仿宋_GB2312" w:cs="宋体"/>
          <w:sz w:val="32"/>
          <w:szCs w:val="32"/>
        </w:rPr>
      </w:pPr>
      <w:r>
        <w:rPr>
          <w:rFonts w:hint="eastAsia" w:ascii="仿宋_GB2312" w:hAnsi="仿宋" w:eastAsia="仿宋_GB2312" w:cs="宋体"/>
          <w:sz w:val="32"/>
          <w:szCs w:val="32"/>
        </w:rPr>
        <w:t xml:space="preserve">   自治区人力资源和社会保障信息中心的主要职责如下：拟定全区人力资源和社会保障信息系统建设规划；组织、协调、指导全区人力资源和社会保障信息化建设工作以及应用软件的开发推广应用。负责建设、管理和维护自治区本级人力资源和社会保障信息系统以及数据中心机房。负责厅门户网站和办公网的建设、维护、管理；负责全区社会保障卡的规划设计、应用开发、发行管理和密钥安全工作。</w:t>
      </w:r>
      <w:r>
        <w:rPr>
          <w:rFonts w:hint="eastAsia" w:ascii="仿宋_GB2312" w:hAnsi="仿宋" w:eastAsia="仿宋_GB2312" w:cs="宋体"/>
          <w:sz w:val="32"/>
          <w:szCs w:val="32"/>
        </w:rPr>
        <w:br w:type="textWrapping"/>
      </w:r>
      <w:r>
        <w:rPr>
          <w:rFonts w:hint="eastAsia" w:ascii="仿宋_GB2312" w:hAnsi="仿宋" w:eastAsia="仿宋_GB2312" w:cs="宋体"/>
          <w:sz w:val="32"/>
          <w:szCs w:val="32"/>
        </w:rPr>
        <w:t xml:space="preserve">     2020年自治区人力资源和社会保障信息中心的主要工作任务是：</w:t>
      </w:r>
    </w:p>
    <w:p>
      <w:pPr>
        <w:numPr>
          <w:ilvl w:val="0"/>
          <w:numId w:val="1"/>
        </w:numPr>
        <w:spacing w:line="560" w:lineRule="exact"/>
        <w:ind w:firstLine="320" w:firstLineChars="100"/>
        <w:rPr>
          <w:rFonts w:ascii="仿宋_GB2312" w:hAnsi="仿宋" w:eastAsia="仿宋_GB2312" w:cs="宋体"/>
          <w:sz w:val="32"/>
          <w:szCs w:val="32"/>
        </w:rPr>
      </w:pPr>
      <w:r>
        <w:rPr>
          <w:rFonts w:hint="eastAsia" w:ascii="仿宋_GB2312" w:hAnsi="仿宋" w:eastAsia="仿宋_GB2312" w:cs="宋体"/>
          <w:sz w:val="32"/>
          <w:szCs w:val="32"/>
        </w:rPr>
        <w:t>扩大金保工程数据大集中系统覆盖面，扩大各业务子系统在各市的应用面</w:t>
      </w:r>
    </w:p>
    <w:p>
      <w:pPr>
        <w:spacing w:line="560" w:lineRule="exact"/>
        <w:ind w:firstLine="320" w:firstLineChars="100"/>
        <w:rPr>
          <w:rFonts w:ascii="仿宋_GB2312" w:hAnsi="仿宋" w:eastAsia="仿宋_GB2312" w:cs="宋体"/>
          <w:sz w:val="32"/>
          <w:szCs w:val="32"/>
        </w:rPr>
      </w:pPr>
      <w:r>
        <w:rPr>
          <w:rFonts w:hint="eastAsia" w:ascii="仿宋_GB2312" w:hAnsi="仿宋" w:eastAsia="仿宋_GB2312" w:cs="宋体"/>
          <w:sz w:val="32"/>
          <w:szCs w:val="32"/>
        </w:rPr>
        <w:t>（二）发行全区统一的社会保障卡，推进社会保障卡应用；</w:t>
      </w:r>
    </w:p>
    <w:p>
      <w:pPr>
        <w:spacing w:line="560" w:lineRule="exact"/>
        <w:ind w:firstLine="320" w:firstLineChars="100"/>
        <w:rPr>
          <w:rFonts w:ascii="仿宋_GB2312" w:hAnsi="仿宋" w:eastAsia="仿宋_GB2312" w:cs="宋体"/>
          <w:b/>
          <w:sz w:val="32"/>
          <w:szCs w:val="32"/>
        </w:rPr>
      </w:pPr>
      <w:r>
        <w:rPr>
          <w:rFonts w:hint="eastAsia" w:ascii="仿宋_GB2312" w:hAnsi="仿宋" w:eastAsia="仿宋_GB2312" w:cs="宋体"/>
          <w:sz w:val="32"/>
          <w:szCs w:val="32"/>
        </w:rPr>
        <w:t>（三）推动全区养老保险的数据集中；</w:t>
      </w:r>
    </w:p>
    <w:p>
      <w:pPr>
        <w:spacing w:line="560" w:lineRule="exact"/>
        <w:ind w:firstLine="320" w:firstLineChars="100"/>
        <w:rPr>
          <w:rFonts w:ascii="仿宋_GB2312" w:hAnsi="仿宋" w:eastAsia="仿宋_GB2312" w:cs="宋体"/>
          <w:sz w:val="32"/>
          <w:szCs w:val="32"/>
        </w:rPr>
      </w:pPr>
      <w:r>
        <w:rPr>
          <w:rFonts w:hint="eastAsia" w:ascii="仿宋_GB2312" w:hAnsi="仿宋" w:eastAsia="仿宋_GB2312" w:cs="宋体"/>
          <w:sz w:val="32"/>
          <w:szCs w:val="32"/>
        </w:rPr>
        <w:t>（四）提升信息系统服务手段，推进网上业务办理。</w:t>
      </w:r>
    </w:p>
    <w:p>
      <w:pPr>
        <w:shd w:val="clear" w:color="auto" w:fill="FFFFFF"/>
        <w:spacing w:line="560" w:lineRule="exact"/>
        <w:ind w:firstLine="480"/>
        <w:rPr>
          <w:rFonts w:ascii="仿宋_GB2312" w:hAnsi="黑体" w:eastAsia="仿宋_GB2312"/>
          <w:color w:val="333333"/>
          <w:sz w:val="32"/>
          <w:szCs w:val="32"/>
        </w:rPr>
      </w:pPr>
      <w:r>
        <w:rPr>
          <w:rFonts w:hint="eastAsia" w:ascii="仿宋_GB2312" w:hAnsi="黑体" w:eastAsia="仿宋_GB2312" w:cs="宋体"/>
          <w:b/>
          <w:sz w:val="32"/>
          <w:szCs w:val="32"/>
        </w:rPr>
        <w:t>二、人员构成情况</w:t>
      </w:r>
    </w:p>
    <w:p>
      <w:pPr>
        <w:spacing w:line="560" w:lineRule="exact"/>
        <w:ind w:firstLine="640" w:firstLineChars="200"/>
        <w:rPr>
          <w:rFonts w:ascii="仿宋_GB2312" w:hAnsi="仿宋" w:eastAsia="仿宋_GB2312" w:cs="宋体"/>
          <w:bCs/>
          <w:color w:val="000000"/>
          <w:sz w:val="32"/>
          <w:szCs w:val="32"/>
        </w:rPr>
      </w:pPr>
      <w:r>
        <w:rPr>
          <w:rFonts w:hint="eastAsia" w:ascii="仿宋_GB2312" w:hAnsi="仿宋" w:eastAsia="仿宋_GB2312"/>
          <w:bCs/>
          <w:color w:val="000000"/>
          <w:sz w:val="32"/>
          <w:szCs w:val="32"/>
        </w:rPr>
        <w:t>广西壮族自治区人力资源和社会保障信息中心</w:t>
      </w:r>
      <w:r>
        <w:rPr>
          <w:rFonts w:hint="eastAsia" w:ascii="仿宋_GB2312" w:hAnsi="仿宋" w:eastAsia="仿宋_GB2312"/>
          <w:bCs/>
          <w:sz w:val="32"/>
          <w:szCs w:val="32"/>
        </w:rPr>
        <w:t>是自治区人力资源和社会保障厅下属的正处级财政全额拨款事业单位。</w:t>
      </w:r>
      <w:r>
        <w:rPr>
          <w:rFonts w:hint="eastAsia" w:ascii="仿宋_GB2312" w:hAnsi="仿宋" w:eastAsia="仿宋_GB2312" w:cs="宋体"/>
          <w:bCs/>
          <w:color w:val="000000"/>
          <w:sz w:val="32"/>
          <w:szCs w:val="32"/>
        </w:rPr>
        <w:t>核定编制8人，实有在职人数8人；</w:t>
      </w:r>
      <w:r>
        <w:rPr>
          <w:rFonts w:hint="eastAsia" w:ascii="仿宋_GB2312" w:hAnsi="仿宋" w:eastAsia="仿宋_GB2312" w:cs="宋体"/>
          <w:sz w:val="32"/>
          <w:szCs w:val="32"/>
        </w:rPr>
        <w:t>聘用人员17人</w:t>
      </w:r>
      <w:r>
        <w:rPr>
          <w:rFonts w:hint="eastAsia" w:ascii="仿宋_GB2312" w:hAnsi="仿宋" w:eastAsia="仿宋_GB2312" w:cs="宋体"/>
          <w:bCs/>
          <w:color w:val="000000"/>
          <w:sz w:val="32"/>
          <w:szCs w:val="32"/>
        </w:rPr>
        <w:t>。</w:t>
      </w:r>
    </w:p>
    <w:p>
      <w:pPr>
        <w:spacing w:line="560" w:lineRule="exact"/>
        <w:ind w:firstLine="640" w:firstLineChars="200"/>
        <w:rPr>
          <w:rFonts w:ascii="仿宋_GB2312" w:hAnsi="仿宋" w:eastAsia="仿宋_GB2312" w:cs="宋体"/>
          <w:bCs/>
          <w:color w:val="000000"/>
          <w:sz w:val="32"/>
          <w:szCs w:val="32"/>
        </w:rPr>
      </w:pPr>
    </w:p>
    <w:p>
      <w:pPr>
        <w:spacing w:line="560" w:lineRule="exact"/>
        <w:ind w:firstLine="640" w:firstLineChars="200"/>
        <w:rPr>
          <w:rFonts w:ascii="仿宋_GB2312" w:hAnsi="仿宋" w:eastAsia="仿宋_GB2312" w:cs="宋体"/>
          <w:bCs/>
          <w:color w:val="000000"/>
          <w:sz w:val="32"/>
          <w:szCs w:val="32"/>
        </w:rPr>
      </w:pPr>
    </w:p>
    <w:p>
      <w:pPr>
        <w:spacing w:line="560" w:lineRule="exact"/>
        <w:ind w:firstLine="640" w:firstLineChars="200"/>
        <w:rPr>
          <w:rFonts w:ascii="仿宋" w:hAnsi="仿宋" w:eastAsia="仿宋" w:cs="宋体"/>
          <w:bCs/>
          <w:color w:val="000000"/>
          <w:sz w:val="32"/>
          <w:szCs w:val="32"/>
        </w:rPr>
        <w:sectPr>
          <w:footerReference r:id="rId3" w:type="default"/>
          <w:pgSz w:w="11906" w:h="16838"/>
          <w:pgMar w:top="1418" w:right="1418" w:bottom="1440" w:left="1418" w:header="851" w:footer="992" w:gutter="0"/>
          <w:cols w:space="425" w:num="1"/>
          <w:docGrid w:linePitch="312" w:charSpace="0"/>
        </w:sectPr>
      </w:pPr>
    </w:p>
    <w:p>
      <w:pPr>
        <w:jc w:val="center"/>
        <w:rPr>
          <w:rFonts w:ascii="黑体" w:hAnsi="黑体" w:eastAsia="黑体"/>
          <w:sz w:val="32"/>
          <w:szCs w:val="32"/>
        </w:rPr>
      </w:pPr>
      <w:r>
        <w:rPr>
          <w:rFonts w:hint="eastAsia" w:ascii="黑体" w:hAnsi="黑体" w:eastAsia="黑体"/>
          <w:sz w:val="32"/>
          <w:szCs w:val="32"/>
        </w:rPr>
        <w:t>第二部分：</w:t>
      </w:r>
      <w:r>
        <w:rPr>
          <w:rFonts w:hint="eastAsia" w:ascii="黑体" w:hAnsi="黑体" w:eastAsia="黑体"/>
          <w:bCs/>
          <w:color w:val="000000"/>
          <w:sz w:val="32"/>
          <w:szCs w:val="32"/>
        </w:rPr>
        <w:t>广西壮族自治区人力资源和社会保障信息中心</w:t>
      </w:r>
      <w:r>
        <w:rPr>
          <w:rFonts w:hint="eastAsia" w:ascii="黑体" w:hAnsi="黑体" w:eastAsia="黑体"/>
          <w:sz w:val="32"/>
          <w:szCs w:val="32"/>
        </w:rPr>
        <w:t>2020年部门决算报表</w:t>
      </w:r>
    </w:p>
    <w:p>
      <w:pPr>
        <w:jc w:val="left"/>
        <w:rPr>
          <w:rFonts w:ascii="仿宋_GB2312" w:hAnsi="仿宋" w:eastAsia="仿宋_GB2312"/>
          <w:sz w:val="32"/>
          <w:szCs w:val="32"/>
        </w:rPr>
      </w:pPr>
    </w:p>
    <w:p>
      <w:pPr>
        <w:rPr>
          <w:rFonts w:ascii="仿宋_GB2312" w:hAnsi="仿宋" w:eastAsia="仿宋_GB2312" w:cs="宋体"/>
          <w:b/>
          <w:color w:val="000000"/>
          <w:kern w:val="0"/>
          <w:sz w:val="32"/>
          <w:szCs w:val="32"/>
        </w:rPr>
      </w:pPr>
      <w:r>
        <w:rPr>
          <w:rFonts w:hint="eastAsia" w:ascii="仿宋_GB2312" w:hAnsi="仿宋" w:eastAsia="仿宋_GB2312" w:cs="宋体"/>
          <w:b/>
          <w:color w:val="000000"/>
          <w:kern w:val="0"/>
          <w:sz w:val="32"/>
          <w:szCs w:val="32"/>
        </w:rPr>
        <w:t>表一：收入支出决算总表</w:t>
      </w:r>
    </w:p>
    <w:p>
      <w:pP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32"/>
          <w:szCs w:val="32"/>
        </w:rPr>
        <w:t xml:space="preserve">                                </w:t>
      </w:r>
      <w:r>
        <w:rPr>
          <w:rFonts w:hint="eastAsia" w:cs="宋体" w:asciiTheme="minorEastAsia" w:hAnsiTheme="minorEastAsia" w:eastAsiaTheme="minorEastAsia"/>
          <w:color w:val="000000"/>
          <w:kern w:val="0"/>
          <w:sz w:val="28"/>
          <w:szCs w:val="28"/>
        </w:rPr>
        <w:t xml:space="preserve">  </w:t>
      </w:r>
    </w:p>
    <w:tbl>
      <w:tblPr>
        <w:tblStyle w:val="4"/>
        <w:tblW w:w="5000" w:type="pct"/>
        <w:tblInd w:w="0" w:type="dxa"/>
        <w:tblLayout w:type="autofit"/>
        <w:tblCellMar>
          <w:top w:w="0" w:type="dxa"/>
          <w:left w:w="108" w:type="dxa"/>
          <w:bottom w:w="0" w:type="dxa"/>
          <w:right w:w="108" w:type="dxa"/>
        </w:tblCellMar>
      </w:tblPr>
      <w:tblGrid>
        <w:gridCol w:w="5066"/>
        <w:gridCol w:w="696"/>
        <w:gridCol w:w="1056"/>
        <w:gridCol w:w="4180"/>
        <w:gridCol w:w="696"/>
        <w:gridCol w:w="2015"/>
      </w:tblGrid>
      <w:tr>
        <w:tblPrEx>
          <w:tblCellMar>
            <w:top w:w="0" w:type="dxa"/>
            <w:left w:w="108" w:type="dxa"/>
            <w:bottom w:w="0" w:type="dxa"/>
            <w:right w:w="108" w:type="dxa"/>
          </w:tblCellMar>
        </w:tblPrEx>
        <w:trPr>
          <w:trHeight w:val="285" w:hRule="atLeast"/>
        </w:trPr>
        <w:tc>
          <w:tcPr>
            <w:tcW w:w="4200" w:type="pct"/>
            <w:gridSpan w:val="5"/>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收入支出决算总表</w:t>
            </w:r>
          </w:p>
        </w:tc>
        <w:tc>
          <w:tcPr>
            <w:tcW w:w="80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170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3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602"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800"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公开01表</w:t>
            </w:r>
          </w:p>
        </w:tc>
      </w:tr>
      <w:tr>
        <w:tblPrEx>
          <w:tblCellMar>
            <w:top w:w="0" w:type="dxa"/>
            <w:left w:w="108" w:type="dxa"/>
            <w:bottom w:w="0" w:type="dxa"/>
            <w:right w:w="108" w:type="dxa"/>
          </w:tblCellMar>
        </w:tblPrEx>
        <w:trPr>
          <w:trHeight w:val="255" w:hRule="atLeast"/>
        </w:trPr>
        <w:tc>
          <w:tcPr>
            <w:tcW w:w="1934" w:type="pct"/>
            <w:gridSpan w:val="2"/>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43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602"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800"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2372"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收入</w:t>
            </w:r>
          </w:p>
        </w:tc>
        <w:tc>
          <w:tcPr>
            <w:tcW w:w="2628" w:type="pct"/>
            <w:gridSpan w:val="3"/>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支出</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行次</w:t>
            </w:r>
          </w:p>
        </w:tc>
        <w:tc>
          <w:tcPr>
            <w:tcW w:w="438"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行次</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438"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80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一、一般公共预算财政拨款收入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4,299.81</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一、一般公共服务支出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374.94</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二、政府性基金预算财政拨款收入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二、外交支出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三、国有资本经营预算财政拨款收入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三、国防支出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四、上级补助收入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四、公共安全支出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五、事业收入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五、教育支出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六、经营收入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六、科学技术支出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七、附属单位上缴收入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七、文化旅游体育与传媒支出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八、其他收入</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8</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53.35</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八、社会保障和就业支出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3,967.90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9</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九、卫生健康支出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十、节能环保支出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11</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十一、城乡社区支出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十二、农林水支出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13</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十三、交通运输支出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十四、资源勘探工业信息等支出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15</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十五、商业服务业等支出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16</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十六、金融支出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17</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十七、援助其他地区支出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18</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十八、自然资源海洋气象等支出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十九、住房保障支出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二十、粮油物资储备支出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二十一、国有资本经营预算支出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二十二、灾害防治及应急管理支出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23</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二十三、其他支出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54</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24</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二十四、债务还本支出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55</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25</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二十五、债务付息支出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56</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26</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二十六、抗疫特别国债安排的支出</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57</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本年收入合计</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27</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4,353.17</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本年支出合计</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58</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4,360.46</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使用非财政拨款结余</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28</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结余分配</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59</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年初结转和结余</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29</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336.89</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年末结转和结余</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60</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329.59</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61</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170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总计</w:t>
            </w:r>
          </w:p>
        </w:tc>
        <w:tc>
          <w:tcPr>
            <w:tcW w:w="226" w:type="pct"/>
            <w:tcBorders>
              <w:top w:val="nil"/>
              <w:left w:val="nil"/>
              <w:bottom w:val="single" w:color="000000" w:sz="8"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w:t>
            </w:r>
          </w:p>
        </w:tc>
        <w:tc>
          <w:tcPr>
            <w:tcW w:w="43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4,690.06</w:t>
            </w:r>
          </w:p>
        </w:tc>
        <w:tc>
          <w:tcPr>
            <w:tcW w:w="1602"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总计</w:t>
            </w:r>
          </w:p>
        </w:tc>
        <w:tc>
          <w:tcPr>
            <w:tcW w:w="22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62</w:t>
            </w:r>
          </w:p>
        </w:tc>
        <w:tc>
          <w:tcPr>
            <w:tcW w:w="80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4,690.06</w:t>
            </w:r>
          </w:p>
        </w:tc>
      </w:tr>
      <w:tr>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注：本表反映部门本年度的总收支和年末结转结余情况。本套报表金额单位转换时可能存在尾数误差。</w:t>
            </w:r>
          </w:p>
        </w:tc>
      </w:tr>
    </w:tbl>
    <w:p>
      <w:pPr>
        <w:jc w:val="left"/>
        <w:rPr>
          <w:rFonts w:asciiTheme="minorEastAsia" w:hAnsiTheme="minorEastAsia" w:eastAsiaTheme="minorEastAsia"/>
          <w:b/>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spacing w:line="520" w:lineRule="exact"/>
        <w:ind w:firstLine="640" w:firstLineChars="200"/>
        <w:rPr>
          <w:rFonts w:cs="宋体" w:asciiTheme="minorEastAsia" w:hAnsiTheme="minorEastAsia" w:eastAsiaTheme="minorEastAsia"/>
          <w:bCs/>
          <w:color w:val="000000"/>
          <w:sz w:val="32"/>
          <w:szCs w:val="32"/>
        </w:rPr>
      </w:pPr>
    </w:p>
    <w:p>
      <w:pPr>
        <w:jc w:val="left"/>
        <w:rPr>
          <w:rFonts w:ascii="仿宋_GB2312" w:hAnsi="仿宋" w:eastAsia="仿宋_GB2312" w:cs="宋体"/>
          <w:color w:val="000000"/>
          <w:kern w:val="0"/>
          <w:sz w:val="32"/>
          <w:szCs w:val="32"/>
        </w:rPr>
      </w:pPr>
      <w:r>
        <w:rPr>
          <w:rFonts w:hint="eastAsia" w:ascii="仿宋_GB2312" w:hAnsi="仿宋" w:eastAsia="仿宋_GB2312" w:cs="宋体"/>
          <w:b/>
          <w:color w:val="000000"/>
          <w:kern w:val="0"/>
          <w:sz w:val="32"/>
          <w:szCs w:val="32"/>
        </w:rPr>
        <w:t xml:space="preserve">表二：收入决算表       </w:t>
      </w:r>
      <w:r>
        <w:rPr>
          <w:rFonts w:hint="eastAsia" w:ascii="仿宋_GB2312" w:hAnsi="仿宋" w:eastAsia="仿宋_GB2312" w:cs="宋体"/>
          <w:color w:val="000000"/>
          <w:kern w:val="0"/>
          <w:sz w:val="32"/>
          <w:szCs w:val="32"/>
        </w:rPr>
        <w:t xml:space="preserve">            </w:t>
      </w:r>
    </w:p>
    <w:tbl>
      <w:tblPr>
        <w:tblStyle w:val="4"/>
        <w:tblW w:w="5000" w:type="pct"/>
        <w:tblInd w:w="0" w:type="dxa"/>
        <w:tblLayout w:type="autofit"/>
        <w:tblCellMar>
          <w:top w:w="0" w:type="dxa"/>
          <w:left w:w="108" w:type="dxa"/>
          <w:bottom w:w="0" w:type="dxa"/>
          <w:right w:w="108" w:type="dxa"/>
        </w:tblCellMar>
      </w:tblPr>
      <w:tblGrid>
        <w:gridCol w:w="624"/>
        <w:gridCol w:w="222"/>
        <w:gridCol w:w="222"/>
        <w:gridCol w:w="4739"/>
        <w:gridCol w:w="1123"/>
        <w:gridCol w:w="1123"/>
        <w:gridCol w:w="893"/>
        <w:gridCol w:w="893"/>
        <w:gridCol w:w="893"/>
        <w:gridCol w:w="1080"/>
        <w:gridCol w:w="1897"/>
      </w:tblGrid>
      <w:tr>
        <w:tblPrEx>
          <w:tblCellMar>
            <w:top w:w="0" w:type="dxa"/>
            <w:left w:w="108" w:type="dxa"/>
            <w:bottom w:w="0" w:type="dxa"/>
            <w:right w:w="108" w:type="dxa"/>
          </w:tblCellMar>
        </w:tblPrEx>
        <w:trPr>
          <w:trHeight w:val="255" w:hRule="atLeast"/>
        </w:trPr>
        <w:tc>
          <w:tcPr>
            <w:tcW w:w="17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3835" w:type="pct"/>
            <w:gridSpan w:val="8"/>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收入决算表</w:t>
            </w:r>
          </w:p>
        </w:tc>
        <w:tc>
          <w:tcPr>
            <w:tcW w:w="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17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6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6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41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1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1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94"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公开02表</w:t>
            </w:r>
          </w:p>
        </w:tc>
      </w:tr>
      <w:tr>
        <w:tblPrEx>
          <w:tblCellMar>
            <w:top w:w="0" w:type="dxa"/>
            <w:left w:w="108" w:type="dxa"/>
            <w:bottom w:w="0" w:type="dxa"/>
            <w:right w:w="108" w:type="dxa"/>
          </w:tblCellMar>
        </w:tblPrEx>
        <w:trPr>
          <w:trHeight w:val="255" w:hRule="atLeast"/>
        </w:trPr>
        <w:tc>
          <w:tcPr>
            <w:tcW w:w="1713" w:type="pct"/>
            <w:gridSpan w:val="4"/>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51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1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9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94"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1713"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51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本年收入合计</w:t>
            </w:r>
          </w:p>
        </w:tc>
        <w:tc>
          <w:tcPr>
            <w:tcW w:w="510"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财政拨款收入</w:t>
            </w:r>
          </w:p>
        </w:tc>
        <w:tc>
          <w:tcPr>
            <w:tcW w:w="426"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上级补助收入</w:t>
            </w:r>
          </w:p>
        </w:tc>
        <w:tc>
          <w:tcPr>
            <w:tcW w:w="426"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事业收入</w:t>
            </w:r>
          </w:p>
        </w:tc>
        <w:tc>
          <w:tcPr>
            <w:tcW w:w="426"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经营收入</w:t>
            </w:r>
          </w:p>
        </w:tc>
        <w:tc>
          <w:tcPr>
            <w:tcW w:w="494"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附属单位上缴收入</w:t>
            </w:r>
          </w:p>
        </w:tc>
        <w:tc>
          <w:tcPr>
            <w:tcW w:w="494"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其他收入</w:t>
            </w:r>
          </w:p>
        </w:tc>
      </w:tr>
      <w:tr>
        <w:tblPrEx>
          <w:tblCellMar>
            <w:top w:w="0" w:type="dxa"/>
            <w:left w:w="108" w:type="dxa"/>
            <w:bottom w:w="0" w:type="dxa"/>
            <w:right w:w="108" w:type="dxa"/>
          </w:tblCellMar>
        </w:tblPrEx>
        <w:trPr>
          <w:trHeight w:val="311" w:hRule="atLeast"/>
        </w:trPr>
        <w:tc>
          <w:tcPr>
            <w:tcW w:w="298"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功能分类科目编码</w:t>
            </w:r>
          </w:p>
        </w:tc>
        <w:tc>
          <w:tcPr>
            <w:tcW w:w="1414"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298"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41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298"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414"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0"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26"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9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1713"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510"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510"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426"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426"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426"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494"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c>
          <w:tcPr>
            <w:tcW w:w="494"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w:t>
            </w:r>
          </w:p>
        </w:tc>
      </w:tr>
      <w:tr>
        <w:tblPrEx>
          <w:tblCellMar>
            <w:top w:w="0" w:type="dxa"/>
            <w:left w:w="108" w:type="dxa"/>
            <w:bottom w:w="0" w:type="dxa"/>
            <w:right w:w="108" w:type="dxa"/>
          </w:tblCellMar>
        </w:tblPrEx>
        <w:trPr>
          <w:trHeight w:val="308" w:hRule="atLeast"/>
        </w:trPr>
        <w:tc>
          <w:tcPr>
            <w:tcW w:w="1713"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4,353.17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4,299.81</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53.35</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一般公共服务支出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365.56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312.20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53.35</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365.56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312.20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53.35</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2011050</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事业运行</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365.56</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312.20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53.35</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社会保障和就业支出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3,969.99</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3,969.99</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人力资源和社会保障管理事务</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3,948.05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3,948.05</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2080108</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信息化建设</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3,948.05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3,948.05</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行政事业单位养老支出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2080505</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机关事业单位基本养老保险缴费支出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2080506</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机关事业单位职业年金缴费支出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卫生健康支出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行政事业单位医疗</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2101102</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事业单位医疗</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住房保障支出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住房改革支出</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298"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2210201</w:t>
            </w:r>
          </w:p>
        </w:tc>
        <w:tc>
          <w:tcPr>
            <w:tcW w:w="1414"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住房公积金</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26"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9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注：本表反映部门本年度取得的各项收入情况。</w:t>
            </w:r>
          </w:p>
        </w:tc>
      </w:tr>
    </w:tbl>
    <w:p>
      <w:pPr>
        <w:rPr>
          <w:rFonts w:ascii="仿宋" w:hAnsi="仿宋" w:eastAsia="仿宋" w:cs="宋体"/>
          <w:b/>
          <w:color w:val="000000"/>
          <w:kern w:val="0"/>
          <w:sz w:val="32"/>
          <w:szCs w:val="32"/>
        </w:rPr>
      </w:pPr>
      <w:r>
        <w:rPr>
          <w:rFonts w:hint="eastAsia" w:ascii="仿宋" w:hAnsi="仿宋" w:eastAsia="仿宋" w:cs="宋体"/>
          <w:b/>
          <w:color w:val="000000"/>
          <w:kern w:val="0"/>
          <w:sz w:val="32"/>
          <w:szCs w:val="32"/>
        </w:rPr>
        <w:t>表三：</w:t>
      </w:r>
      <w:r>
        <w:rPr>
          <w:rFonts w:hint="eastAsia" w:ascii="仿宋" w:hAnsi="仿宋" w:eastAsia="仿宋" w:cs="Arial"/>
          <w:b/>
          <w:color w:val="000000"/>
          <w:kern w:val="0"/>
          <w:sz w:val="32"/>
          <w:szCs w:val="32"/>
        </w:rPr>
        <w:t>支出决算表</w:t>
      </w:r>
    </w:p>
    <w:tbl>
      <w:tblPr>
        <w:tblStyle w:val="4"/>
        <w:tblW w:w="5000" w:type="pct"/>
        <w:tblInd w:w="0" w:type="dxa"/>
        <w:tblLayout w:type="autofit"/>
        <w:tblCellMar>
          <w:top w:w="0" w:type="dxa"/>
          <w:left w:w="108" w:type="dxa"/>
          <w:bottom w:w="0" w:type="dxa"/>
          <w:right w:w="108" w:type="dxa"/>
        </w:tblCellMar>
      </w:tblPr>
      <w:tblGrid>
        <w:gridCol w:w="623"/>
        <w:gridCol w:w="222"/>
        <w:gridCol w:w="222"/>
        <w:gridCol w:w="4296"/>
        <w:gridCol w:w="1414"/>
        <w:gridCol w:w="1291"/>
        <w:gridCol w:w="1415"/>
        <w:gridCol w:w="1165"/>
        <w:gridCol w:w="1165"/>
        <w:gridCol w:w="1896"/>
      </w:tblGrid>
      <w:tr>
        <w:tblPrEx>
          <w:tblCellMar>
            <w:top w:w="0" w:type="dxa"/>
            <w:left w:w="108" w:type="dxa"/>
            <w:bottom w:w="0" w:type="dxa"/>
            <w:right w:w="108" w:type="dxa"/>
          </w:tblCellMar>
        </w:tblPrEx>
        <w:trPr>
          <w:trHeight w:val="255" w:hRule="atLeast"/>
        </w:trPr>
        <w:tc>
          <w:tcPr>
            <w:tcW w:w="19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256" w:type="pct"/>
            <w:gridSpan w:val="8"/>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支出决算表</w:t>
            </w:r>
          </w:p>
        </w:tc>
        <w:tc>
          <w:tcPr>
            <w:tcW w:w="54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19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tc>
        <w:tc>
          <w:tcPr>
            <w:tcW w:w="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552"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5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1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5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49"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公开03表</w:t>
            </w:r>
          </w:p>
        </w:tc>
      </w:tr>
      <w:tr>
        <w:tblPrEx>
          <w:tblCellMar>
            <w:top w:w="0" w:type="dxa"/>
            <w:left w:w="108" w:type="dxa"/>
            <w:bottom w:w="0" w:type="dxa"/>
            <w:right w:w="108" w:type="dxa"/>
          </w:tblCellMar>
        </w:tblPrEx>
        <w:trPr>
          <w:trHeight w:val="255" w:hRule="atLeast"/>
        </w:trPr>
        <w:tc>
          <w:tcPr>
            <w:tcW w:w="2442" w:type="pct"/>
            <w:gridSpan w:val="5"/>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514"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5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49"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1883" w:type="pct"/>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55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本年支出合计</w:t>
            </w:r>
          </w:p>
        </w:tc>
        <w:tc>
          <w:tcPr>
            <w:tcW w:w="514"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基本支出</w:t>
            </w:r>
          </w:p>
        </w:tc>
        <w:tc>
          <w:tcPr>
            <w:tcW w:w="55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项目支出</w:t>
            </w:r>
          </w:p>
        </w:tc>
        <w:tc>
          <w:tcPr>
            <w:tcW w:w="46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上缴上级支出</w:t>
            </w:r>
          </w:p>
        </w:tc>
        <w:tc>
          <w:tcPr>
            <w:tcW w:w="468"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经营支出</w:t>
            </w:r>
          </w:p>
        </w:tc>
        <w:tc>
          <w:tcPr>
            <w:tcW w:w="549" w:type="pct"/>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对附属单位补助支出</w:t>
            </w:r>
          </w:p>
        </w:tc>
      </w:tr>
      <w:tr>
        <w:tblPrEx>
          <w:tblCellMar>
            <w:top w:w="0" w:type="dxa"/>
            <w:left w:w="108" w:type="dxa"/>
            <w:bottom w:w="0" w:type="dxa"/>
            <w:right w:w="108" w:type="dxa"/>
          </w:tblCellMar>
        </w:tblPrEx>
        <w:trPr>
          <w:trHeight w:val="311" w:hRule="atLeast"/>
        </w:trPr>
        <w:tc>
          <w:tcPr>
            <w:tcW w:w="331" w:type="pct"/>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功能分类科目编码</w:t>
            </w:r>
          </w:p>
        </w:tc>
        <w:tc>
          <w:tcPr>
            <w:tcW w:w="1552"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559"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4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331"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552"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4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331" w:type="pct"/>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552"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59"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4"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5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8"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49" w:type="pct"/>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1883"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559"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514"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559"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468"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468"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549" w:type="pc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r>
      <w:tr>
        <w:tblPrEx>
          <w:tblCellMar>
            <w:top w:w="0" w:type="dxa"/>
            <w:left w:w="108" w:type="dxa"/>
            <w:bottom w:w="0" w:type="dxa"/>
            <w:right w:w="108" w:type="dxa"/>
          </w:tblCellMar>
        </w:tblPrEx>
        <w:trPr>
          <w:trHeight w:val="308" w:hRule="atLeast"/>
        </w:trPr>
        <w:tc>
          <w:tcPr>
            <w:tcW w:w="1883" w:type="pct"/>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4,360.46</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166.56</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4,193.90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一般公共服务支出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374.94</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127.00</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247.93</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人力资源事务</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374.94</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127.00</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247.93</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2011050</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事业运行</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374.94</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127.00</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247.93</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社会保障和就业支出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3,967.90</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人力资源和社会保障管理事务</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2080108</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信息化建设</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行政事业单位养老支出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2080505</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机关事业单位基本养老保险缴费支出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2080506</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机关事业单位职业年金缴费支出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卫生健康支出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行政事业单位医疗</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2101102</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事业单位医疗</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住房保障支出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住房改革支出</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331" w:type="pct"/>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2210201</w:t>
            </w:r>
          </w:p>
        </w:tc>
        <w:tc>
          <w:tcPr>
            <w:tcW w:w="1552" w:type="pct"/>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住房公积金</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14"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5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8"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注：本表反映部门本年度各项支出情况。</w:t>
            </w:r>
          </w:p>
        </w:tc>
      </w:tr>
    </w:tbl>
    <w:p>
      <w:pPr>
        <w:jc w:val="left"/>
        <w:rPr>
          <w:rFonts w:ascii="仿宋_GB2312" w:hAnsi="仿宋" w:eastAsia="仿宋_GB2312"/>
          <w:b/>
          <w:sz w:val="32"/>
          <w:szCs w:val="32"/>
        </w:rPr>
      </w:pPr>
      <w:r>
        <w:rPr>
          <w:rFonts w:hint="eastAsia" w:ascii="仿宋_GB2312" w:hAnsi="仿宋" w:eastAsia="仿宋_GB2312"/>
          <w:b/>
          <w:sz w:val="32"/>
          <w:szCs w:val="32"/>
        </w:rPr>
        <w:t>表四：财政拨款收入支出决算总表</w:t>
      </w:r>
    </w:p>
    <w:p>
      <w:pPr>
        <w:jc w:val="left"/>
        <w:rPr>
          <w:rFonts w:ascii="仿宋" w:hAnsi="仿宋" w:eastAsia="仿宋"/>
          <w:b/>
          <w:sz w:val="32"/>
          <w:szCs w:val="32"/>
        </w:rPr>
      </w:pPr>
    </w:p>
    <w:tbl>
      <w:tblPr>
        <w:tblStyle w:val="4"/>
        <w:tblW w:w="5000" w:type="pct"/>
        <w:tblInd w:w="0" w:type="dxa"/>
        <w:tblLayout w:type="autofit"/>
        <w:tblCellMar>
          <w:top w:w="0" w:type="dxa"/>
          <w:left w:w="108" w:type="dxa"/>
          <w:bottom w:w="0" w:type="dxa"/>
          <w:right w:w="108" w:type="dxa"/>
        </w:tblCellMar>
      </w:tblPr>
      <w:tblGrid>
        <w:gridCol w:w="3001"/>
        <w:gridCol w:w="439"/>
        <w:gridCol w:w="1286"/>
        <w:gridCol w:w="3393"/>
        <w:gridCol w:w="439"/>
        <w:gridCol w:w="915"/>
        <w:gridCol w:w="1283"/>
        <w:gridCol w:w="1380"/>
        <w:gridCol w:w="1573"/>
      </w:tblGrid>
      <w:tr>
        <w:tblPrEx>
          <w:tblCellMar>
            <w:top w:w="0" w:type="dxa"/>
            <w:left w:w="108" w:type="dxa"/>
            <w:bottom w:w="0" w:type="dxa"/>
            <w:right w:w="108" w:type="dxa"/>
          </w:tblCellMar>
        </w:tblPrEx>
        <w:trPr>
          <w:trHeight w:val="300" w:hRule="atLeast"/>
        </w:trPr>
        <w:tc>
          <w:tcPr>
            <w:tcW w:w="3953" w:type="pct"/>
            <w:gridSpan w:val="7"/>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财政拨款收入支出决算总表</w:t>
            </w: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41"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1118"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5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266"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15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33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41"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公开04表</w:t>
            </w:r>
          </w:p>
        </w:tc>
      </w:tr>
      <w:tr>
        <w:tblPrEx>
          <w:tblCellMar>
            <w:top w:w="0" w:type="dxa"/>
            <w:left w:w="108" w:type="dxa"/>
            <w:bottom w:w="0" w:type="dxa"/>
            <w:right w:w="108" w:type="dxa"/>
          </w:tblCellMar>
        </w:tblPrEx>
        <w:trPr>
          <w:trHeight w:val="255" w:hRule="atLeast"/>
        </w:trPr>
        <w:tc>
          <w:tcPr>
            <w:tcW w:w="3004" w:type="pct"/>
            <w:gridSpan w:val="4"/>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15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330"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469"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05" w:type="pct"/>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41" w:type="pct"/>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1738" w:type="pct"/>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收     入</w:t>
            </w:r>
          </w:p>
        </w:tc>
        <w:tc>
          <w:tcPr>
            <w:tcW w:w="3262" w:type="pct"/>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支     出</w:t>
            </w:r>
          </w:p>
        </w:tc>
      </w:tr>
      <w:tr>
        <w:tblPrEx>
          <w:tblCellMar>
            <w:top w:w="0" w:type="dxa"/>
            <w:left w:w="108" w:type="dxa"/>
            <w:bottom w:w="0" w:type="dxa"/>
            <w:right w:w="108" w:type="dxa"/>
          </w:tblCellMar>
        </w:tblPrEx>
        <w:trPr>
          <w:trHeight w:val="311" w:hRule="atLeast"/>
        </w:trPr>
        <w:tc>
          <w:tcPr>
            <w:tcW w:w="1118" w:type="pct"/>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15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行次</w:t>
            </w:r>
          </w:p>
        </w:tc>
        <w:tc>
          <w:tcPr>
            <w:tcW w:w="46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w:t>
            </w:r>
          </w:p>
        </w:tc>
        <w:tc>
          <w:tcPr>
            <w:tcW w:w="1266"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150"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行次</w:t>
            </w:r>
          </w:p>
        </w:tc>
        <w:tc>
          <w:tcPr>
            <w:tcW w:w="330" w:type="pct"/>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469"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一般公共预算财政拨款</w:t>
            </w:r>
          </w:p>
        </w:tc>
        <w:tc>
          <w:tcPr>
            <w:tcW w:w="505"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政府性基金预算财政拨款</w:t>
            </w:r>
          </w:p>
        </w:tc>
        <w:tc>
          <w:tcPr>
            <w:tcW w:w="541" w:type="pct"/>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国有资本经营预算财政拨款</w:t>
            </w:r>
          </w:p>
        </w:tc>
      </w:tr>
      <w:tr>
        <w:tblPrEx>
          <w:tblCellMar>
            <w:top w:w="0" w:type="dxa"/>
            <w:left w:w="108" w:type="dxa"/>
            <w:bottom w:w="0" w:type="dxa"/>
            <w:right w:w="108" w:type="dxa"/>
          </w:tblCellMar>
        </w:tblPrEx>
        <w:trPr>
          <w:trHeight w:val="615" w:hRule="atLeast"/>
        </w:trPr>
        <w:tc>
          <w:tcPr>
            <w:tcW w:w="1118" w:type="pct"/>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50"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9"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266"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150"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330"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469"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05"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41" w:type="pct"/>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469"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33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469"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505"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541"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一、一般公共预算财政拨款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4,299.81</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一、一般公共服务支出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33</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322.48</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322.48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二、政府性基金预算财政拨款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二、外交支出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34</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三、国有资本经营财政拨款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三、国防支出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35</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四、公共安全支出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36</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五、教育支出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37</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六、科学技术支出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38</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七、文化旅游体育与传媒支出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8</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八、社会保障和就业支出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40</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3,967.90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3,967.90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9</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九、卫生健康支出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41</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十、节能环保支出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42</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11</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十一、城乡社区支出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十二、农林水支出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44</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13</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十三、交通运输支出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45</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十四、资源勘探工业信息等支出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46</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15</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十五、商业服务业等支出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47</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16</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十六、金融支出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48</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17</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十七、援助其他地区支出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49</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18</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十八、自然资源海洋气象等支出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50</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十九、住房保障支出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51</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二十、粮油物资储备支出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52</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二十一、国有资本经营预算支出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53</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二十二、灾害防治及应急管理支出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54</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23</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二十三、其他支出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55</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24</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二十四、债务还本支出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56</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25</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二十五、债务付息支出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57</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26</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二十六、抗疫特别国债安排的支出</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58</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本年收入合计</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27</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4,299.81</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本年支出合计</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59</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4,308.01</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4,308.01</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年初财政拨款结转和结余</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28</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10.28</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年末财政拨款结转和结余</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60</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一般公共预算财政拨款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29</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10.28</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61</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政府性基金预算财政拨款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62</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国有资本经营预算财政拨款</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63</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1118" w:type="pct"/>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总计</w:t>
            </w:r>
          </w:p>
        </w:tc>
        <w:tc>
          <w:tcPr>
            <w:tcW w:w="150" w:type="pct"/>
            <w:tcBorders>
              <w:top w:val="nil"/>
              <w:left w:val="nil"/>
              <w:bottom w:val="single" w:color="000000" w:sz="8"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4,310.09</w:t>
            </w:r>
          </w:p>
        </w:tc>
        <w:tc>
          <w:tcPr>
            <w:tcW w:w="1266"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总计</w:t>
            </w:r>
          </w:p>
        </w:tc>
        <w:tc>
          <w:tcPr>
            <w:tcW w:w="150" w:type="pc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64</w:t>
            </w:r>
          </w:p>
        </w:tc>
        <w:tc>
          <w:tcPr>
            <w:tcW w:w="330"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4,310.09</w:t>
            </w:r>
          </w:p>
        </w:tc>
        <w:tc>
          <w:tcPr>
            <w:tcW w:w="469"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4,310.09</w:t>
            </w:r>
          </w:p>
        </w:tc>
        <w:tc>
          <w:tcPr>
            <w:tcW w:w="505"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541" w:type="pct"/>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4459" w:type="pct"/>
            <w:gridSpan w:val="8"/>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注：本表反映部门本年度一般公共预算财政拨款、政府性基金预算财政拨款和国有资本经营预算财政拨款的总收支和年末结转结余情况。</w:t>
            </w:r>
          </w:p>
        </w:tc>
        <w:tc>
          <w:tcPr>
            <w:tcW w:w="541" w:type="pct"/>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p>
        </w:tc>
      </w:tr>
    </w:tbl>
    <w:p>
      <w:pPr>
        <w:pStyle w:val="8"/>
        <w:ind w:left="420" w:firstLine="0" w:firstLineChars="0"/>
        <w:jc w:val="left"/>
        <w:rPr>
          <w:rFonts w:cs="ArialUnicodeMS" w:asciiTheme="minorEastAsia" w:hAnsiTheme="minorEastAsia" w:eastAsiaTheme="minorEastAsia"/>
          <w:kern w:val="0"/>
          <w:sz w:val="52"/>
          <w:szCs w:val="52"/>
        </w:rPr>
      </w:pPr>
    </w:p>
    <w:p>
      <w:pPr>
        <w:rPr>
          <w:rFonts w:asciiTheme="minorEastAsia" w:hAnsiTheme="minorEastAsia" w:eastAsiaTheme="minorEastAsia"/>
        </w:rPr>
      </w:pPr>
    </w:p>
    <w:p>
      <w:pPr>
        <w:widowControl/>
        <w:rPr>
          <w:rFonts w:ascii="仿宋_GB2312" w:eastAsia="仿宋_GB2312" w:cs="宋体" w:hAnsiTheme="minorEastAsia"/>
          <w:color w:val="000000"/>
          <w:kern w:val="0"/>
          <w:sz w:val="32"/>
          <w:szCs w:val="32"/>
        </w:rPr>
      </w:pPr>
      <w:r>
        <w:rPr>
          <w:rFonts w:hint="eastAsia" w:ascii="仿宋_GB2312" w:hAnsi="仿宋" w:eastAsia="仿宋_GB2312" w:cs="宋体"/>
          <w:b/>
          <w:color w:val="000000"/>
          <w:kern w:val="0"/>
          <w:sz w:val="32"/>
          <w:szCs w:val="32"/>
        </w:rPr>
        <w:t xml:space="preserve">表五：一般公共预算财政拨款支出决算表   </w:t>
      </w:r>
      <w:r>
        <w:rPr>
          <w:rFonts w:hint="eastAsia" w:ascii="仿宋_GB2312" w:eastAsia="仿宋_GB2312" w:cs="宋体" w:hAnsiTheme="minorEastAsia"/>
          <w:color w:val="000000"/>
          <w:kern w:val="0"/>
          <w:sz w:val="32"/>
          <w:szCs w:val="32"/>
        </w:rPr>
        <w:t xml:space="preserve">   </w:t>
      </w:r>
    </w:p>
    <w:tbl>
      <w:tblPr>
        <w:tblStyle w:val="4"/>
        <w:tblW w:w="12392" w:type="dxa"/>
        <w:tblInd w:w="93" w:type="dxa"/>
        <w:tblLayout w:type="autofit"/>
        <w:tblCellMar>
          <w:top w:w="0" w:type="dxa"/>
          <w:left w:w="108" w:type="dxa"/>
          <w:bottom w:w="0" w:type="dxa"/>
          <w:right w:w="108" w:type="dxa"/>
        </w:tblCellMar>
      </w:tblPr>
      <w:tblGrid>
        <w:gridCol w:w="430"/>
        <w:gridCol w:w="335"/>
        <w:gridCol w:w="291"/>
        <w:gridCol w:w="5146"/>
        <w:gridCol w:w="2168"/>
        <w:gridCol w:w="2018"/>
        <w:gridCol w:w="2260"/>
      </w:tblGrid>
      <w:tr>
        <w:tblPrEx>
          <w:tblCellMar>
            <w:top w:w="0" w:type="dxa"/>
            <w:left w:w="108" w:type="dxa"/>
            <w:bottom w:w="0" w:type="dxa"/>
            <w:right w:w="108" w:type="dxa"/>
          </w:tblCellMar>
        </w:tblPrEx>
        <w:trPr>
          <w:trHeight w:val="300" w:hRule="atLeast"/>
        </w:trPr>
        <w:tc>
          <w:tcPr>
            <w:tcW w:w="10132" w:type="dxa"/>
            <w:gridSpan w:val="6"/>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一般公共预算财政拨款支出决算表</w:t>
            </w:r>
          </w:p>
        </w:tc>
        <w:tc>
          <w:tcPr>
            <w:tcW w:w="2260"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328"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56"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16"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5146"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168"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018"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26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公开05表</w:t>
            </w:r>
          </w:p>
        </w:tc>
      </w:tr>
      <w:tr>
        <w:tblPrEx>
          <w:tblCellMar>
            <w:top w:w="0" w:type="dxa"/>
            <w:left w:w="108" w:type="dxa"/>
            <w:bottom w:w="0" w:type="dxa"/>
            <w:right w:w="108" w:type="dxa"/>
          </w:tblCellMar>
        </w:tblPrEx>
        <w:trPr>
          <w:trHeight w:val="255" w:hRule="atLeast"/>
        </w:trPr>
        <w:tc>
          <w:tcPr>
            <w:tcW w:w="8114" w:type="dxa"/>
            <w:gridSpan w:val="5"/>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2018"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2260" w:type="dxa"/>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5946"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6446" w:type="dxa"/>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本年支出</w:t>
            </w:r>
          </w:p>
        </w:tc>
      </w:tr>
      <w:tr>
        <w:tblPrEx>
          <w:tblCellMar>
            <w:top w:w="0" w:type="dxa"/>
            <w:left w:w="108" w:type="dxa"/>
            <w:bottom w:w="0" w:type="dxa"/>
            <w:right w:w="108" w:type="dxa"/>
          </w:tblCellMar>
        </w:tblPrEx>
        <w:trPr>
          <w:trHeight w:val="311" w:hRule="atLeast"/>
        </w:trPr>
        <w:tc>
          <w:tcPr>
            <w:tcW w:w="80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功能分类科目编码</w:t>
            </w:r>
          </w:p>
        </w:tc>
        <w:tc>
          <w:tcPr>
            <w:tcW w:w="5146" w:type="dxa"/>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216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小计</w:t>
            </w:r>
          </w:p>
        </w:tc>
        <w:tc>
          <w:tcPr>
            <w:tcW w:w="2018"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基本支出</w:t>
            </w:r>
          </w:p>
        </w:tc>
        <w:tc>
          <w:tcPr>
            <w:tcW w:w="2260" w:type="dxa"/>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项目支出</w:t>
            </w:r>
          </w:p>
        </w:tc>
      </w:tr>
      <w:tr>
        <w:tblPrEx>
          <w:tblCellMar>
            <w:top w:w="0" w:type="dxa"/>
            <w:left w:w="108" w:type="dxa"/>
            <w:bottom w:w="0" w:type="dxa"/>
            <w:right w:w="108" w:type="dxa"/>
          </w:tblCellMar>
        </w:tblPrEx>
        <w:trPr>
          <w:trHeight w:val="311" w:hRule="atLeast"/>
        </w:trPr>
        <w:tc>
          <w:tcPr>
            <w:tcW w:w="80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46"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168"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018"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800" w:type="dxa"/>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5146"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168"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018"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2260" w:type="dxa"/>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5946"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2168"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2018"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2260" w:type="dxa"/>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r>
      <w:tr>
        <w:tblPrEx>
          <w:tblCellMar>
            <w:top w:w="0" w:type="dxa"/>
            <w:left w:w="108" w:type="dxa"/>
            <w:bottom w:w="0" w:type="dxa"/>
            <w:right w:w="108" w:type="dxa"/>
          </w:tblCellMar>
        </w:tblPrEx>
        <w:trPr>
          <w:trHeight w:val="308" w:hRule="atLeast"/>
        </w:trPr>
        <w:tc>
          <w:tcPr>
            <w:tcW w:w="5946" w:type="dxa"/>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4,308.01</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162.11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4,145.90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一般公共服务支出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322.48</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122.55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199.93</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人力资源事务</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322.48</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122.55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199.93</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2011050</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事业运行</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322.48</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122.55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199.93</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社会保障和就业支出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3,967.90</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人力资源和社会保障管理事务</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2080108</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信息化建设</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3,945.97</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行政事业单位养老支出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21.94</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2080505</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机关事业单位基本养老保险缴费支出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2080506</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机关事业单位职业年金缴费支出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卫生健康支出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行政事业单位医疗</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2101102</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事业单位医疗</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住房保障支出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住房改革支出</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800" w:type="dxa"/>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2210201</w:t>
            </w:r>
          </w:p>
        </w:tc>
        <w:tc>
          <w:tcPr>
            <w:tcW w:w="5146" w:type="dxa"/>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住房公积金</w:t>
            </w:r>
          </w:p>
        </w:tc>
        <w:tc>
          <w:tcPr>
            <w:tcW w:w="216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018"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2260" w:type="dxa"/>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12392" w:type="dxa"/>
            <w:gridSpan w:val="7"/>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注：本表反映部门本年度一般公共预算财政拨款支出情况。</w:t>
            </w:r>
          </w:p>
        </w:tc>
      </w:tr>
    </w:tbl>
    <w:p>
      <w:pPr>
        <w:rPr>
          <w:rFonts w:ascii="仿宋_GB2312" w:hAnsi="仿宋" w:eastAsia="仿宋_GB2312" w:cs="宋体"/>
          <w:b/>
          <w:color w:val="000000"/>
          <w:kern w:val="0"/>
          <w:sz w:val="32"/>
          <w:szCs w:val="32"/>
        </w:rPr>
      </w:pPr>
      <w:r>
        <w:rPr>
          <w:rFonts w:hint="eastAsia" w:ascii="仿宋_GB2312" w:hAnsi="仿宋" w:eastAsia="仿宋_GB2312" w:cs="宋体"/>
          <w:b/>
          <w:color w:val="000000"/>
          <w:kern w:val="0"/>
          <w:sz w:val="32"/>
          <w:szCs w:val="32"/>
        </w:rPr>
        <w:t>表六：一般公共预算财政拨款基本支出决算表</w:t>
      </w:r>
    </w:p>
    <w:p>
      <w:pPr>
        <w:jc w:val="left"/>
        <w:rPr>
          <w:rFonts w:cs="宋体" w:asciiTheme="minorEastAsia" w:hAnsiTheme="minorEastAsia" w:eastAsiaTheme="minorEastAsia"/>
          <w:color w:val="000000"/>
          <w:kern w:val="0"/>
          <w:sz w:val="32"/>
          <w:szCs w:val="32"/>
        </w:rPr>
      </w:pPr>
    </w:p>
    <w:tbl>
      <w:tblPr>
        <w:tblStyle w:val="4"/>
        <w:tblW w:w="0" w:type="auto"/>
        <w:tblInd w:w="0" w:type="dxa"/>
        <w:tblLayout w:type="autofit"/>
        <w:tblCellMar>
          <w:top w:w="0" w:type="dxa"/>
          <w:left w:w="108" w:type="dxa"/>
          <w:bottom w:w="0" w:type="dxa"/>
          <w:right w:w="108" w:type="dxa"/>
        </w:tblCellMar>
      </w:tblPr>
      <w:tblGrid>
        <w:gridCol w:w="683"/>
        <w:gridCol w:w="3017"/>
        <w:gridCol w:w="730"/>
        <w:gridCol w:w="683"/>
        <w:gridCol w:w="2083"/>
        <w:gridCol w:w="543"/>
        <w:gridCol w:w="683"/>
        <w:gridCol w:w="3764"/>
        <w:gridCol w:w="1523"/>
      </w:tblGrid>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gridSpan w:val="6"/>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一般公共预算财政拨款基本支出决算表</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公开06表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0"/>
                <w:szCs w:val="20"/>
              </w:rPr>
            </w:pPr>
            <w:r>
              <w:rPr>
                <w:rFonts w:hint="eastAsia" w:cs="Arial" w:asciiTheme="minorEastAsia" w:hAnsiTheme="minorEastAsia" w:eastAsiaTheme="minorEastAsia"/>
                <w:color w:val="000000"/>
                <w:kern w:val="0"/>
                <w:sz w:val="20"/>
                <w:szCs w:val="20"/>
              </w:rPr>
              <w:t>部门：广西壮族自治区人力资源和社会保障信息中心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人员经费</w:t>
            </w:r>
          </w:p>
        </w:tc>
        <w:tc>
          <w:tcPr>
            <w:tcW w:w="0" w:type="auto"/>
            <w:gridSpan w:val="6"/>
            <w:tcBorders>
              <w:top w:val="single" w:color="000000" w:sz="4" w:space="0"/>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公用经费</w:t>
            </w:r>
          </w:p>
        </w:tc>
      </w:tr>
      <w:tr>
        <w:tblPrEx>
          <w:tblCellMar>
            <w:top w:w="0" w:type="dxa"/>
            <w:left w:w="108" w:type="dxa"/>
            <w:bottom w:w="0" w:type="dxa"/>
            <w:right w:w="108" w:type="dxa"/>
          </w:tblCellMar>
        </w:tblPrEx>
        <w:trPr>
          <w:trHeight w:val="311" w:hRule="atLeast"/>
        </w:trPr>
        <w:tc>
          <w:tcPr>
            <w:tcW w:w="0" w:type="auto"/>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科目编码</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决算数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科目编码</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决算数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科目编码</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决算数</w:t>
            </w:r>
          </w:p>
        </w:tc>
      </w:tr>
      <w:tr>
        <w:tblPrEx>
          <w:tblCellMar>
            <w:top w:w="0" w:type="dxa"/>
            <w:left w:w="108" w:type="dxa"/>
            <w:bottom w:w="0" w:type="dxa"/>
            <w:right w:w="108" w:type="dxa"/>
          </w:tblCellMar>
        </w:tblPrEx>
        <w:trPr>
          <w:trHeight w:val="311" w:hRule="atLeast"/>
        </w:trPr>
        <w:tc>
          <w:tcPr>
            <w:tcW w:w="0" w:type="auto"/>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工资福利支出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151.76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商品和服务支出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7.28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债务利息及费用支出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基本工资</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33.60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办公费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0.10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30701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国内债务付息</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津贴补贴</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印刷费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30702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国外债务付息</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奖金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咨询费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资本性支出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伙食补助费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手续费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房屋建筑物购建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绩效工资</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76.09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0.17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办公设备购置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机关事业单位基本养老保险缴费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14.63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电费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专用设备购置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职业年金缴费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7.31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邮电费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基础设施建设</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30110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职工基本医疗保险缴费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6.65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取暖费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大型修缮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30111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公务员医疗补助缴费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物业管理费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信息网络及软件购置更新</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30112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其他社会保障缴费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0.55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差旅费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1.40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物资储备</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30113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因公出国（境）费用</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土地补偿</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30114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医疗费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维修（护）费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31010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安置补助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30199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其他工资福利支出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租赁费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31011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地上附着物和青苗补偿</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对个人和家庭的补助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会议费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31012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拆迁补偿</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离休费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培训费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31013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公务用车购置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退休费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公务接待费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31019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其他交通工具购置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退职（役）费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30218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专用材料费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31021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文物和陈列品购置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抚恤金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被装购置费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31022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无形资产购置</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生活补助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专用燃料费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31099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其他资本性支出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救济费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劳务费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医疗费补助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委托业务费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39906</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赠与</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助学金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工会经费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1.90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39907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国家赔偿费用支出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30309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奖励金</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30229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福利费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0.41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39908</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对民间非营利组织和群众性自治组织补贴</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30310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个人农业生产补贴</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30231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公务用车运行维护费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39999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30311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代缴社会保险费</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30239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其他交通费用</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30399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其他对个人和家庭的补助</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3.07</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30240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税金及附加费用</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30299</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xml:space="preserve">  其他商品和服务支出</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3.20</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2"/>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人员经费合计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154.83</w:t>
            </w:r>
          </w:p>
        </w:tc>
        <w:tc>
          <w:tcPr>
            <w:tcW w:w="0" w:type="auto"/>
            <w:gridSpan w:val="5"/>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公用经费合计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7.28</w:t>
            </w:r>
          </w:p>
        </w:tc>
      </w:tr>
      <w:tr>
        <w:tblPrEx>
          <w:tblCellMar>
            <w:top w:w="0" w:type="dxa"/>
            <w:left w:w="108" w:type="dxa"/>
            <w:bottom w:w="0" w:type="dxa"/>
            <w:right w:w="108" w:type="dxa"/>
          </w:tblCellMar>
        </w:tblPrEx>
        <w:trPr>
          <w:trHeight w:val="308" w:hRule="atLeast"/>
        </w:trPr>
        <w:tc>
          <w:tcPr>
            <w:tcW w:w="0" w:type="auto"/>
            <w:gridSpan w:val="9"/>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注：本表反映部门本年度一般公共预算财政拨款基本支出明细情况。</w:t>
            </w:r>
          </w:p>
        </w:tc>
      </w:tr>
    </w:tbl>
    <w:p>
      <w:pPr>
        <w:rPr>
          <w:rFonts w:cs="宋体" w:asciiTheme="minorEastAsia" w:hAnsiTheme="minorEastAsia" w:eastAsiaTheme="minorEastAsia"/>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 w:hAnsi="仿宋" w:eastAsia="仿宋" w:cs="宋体"/>
          <w:b/>
          <w:color w:val="000000"/>
          <w:kern w:val="0"/>
          <w:sz w:val="32"/>
          <w:szCs w:val="32"/>
        </w:rPr>
      </w:pPr>
    </w:p>
    <w:p>
      <w:pPr>
        <w:rPr>
          <w:rFonts w:ascii="仿宋_GB2312" w:hAnsi="仿宋" w:eastAsia="仿宋_GB2312" w:cs="宋体"/>
          <w:b/>
          <w:color w:val="000000"/>
          <w:kern w:val="0"/>
          <w:sz w:val="32"/>
          <w:szCs w:val="32"/>
        </w:rPr>
      </w:pPr>
      <w:r>
        <w:rPr>
          <w:rFonts w:hint="eastAsia" w:ascii="仿宋_GB2312" w:hAnsi="仿宋" w:eastAsia="仿宋_GB2312" w:cs="宋体"/>
          <w:b/>
          <w:color w:val="000000"/>
          <w:kern w:val="0"/>
          <w:sz w:val="32"/>
          <w:szCs w:val="32"/>
        </w:rPr>
        <w:t>表七：一般公共预算财政拨款安排的“三公”经费支出决算表</w:t>
      </w:r>
    </w:p>
    <w:p>
      <w:pPr>
        <w:rPr>
          <w:rFonts w:cs="宋体" w:asciiTheme="minorEastAsia" w:hAnsiTheme="minorEastAsia" w:eastAsiaTheme="minorEastAsia"/>
          <w:color w:val="000000"/>
          <w:kern w:val="0"/>
          <w:sz w:val="32"/>
          <w:szCs w:val="32"/>
        </w:rPr>
      </w:pPr>
    </w:p>
    <w:tbl>
      <w:tblPr>
        <w:tblStyle w:val="4"/>
        <w:tblW w:w="0" w:type="auto"/>
        <w:tblInd w:w="93" w:type="dxa"/>
        <w:tblLayout w:type="autofit"/>
        <w:tblCellMar>
          <w:top w:w="0" w:type="dxa"/>
          <w:left w:w="108" w:type="dxa"/>
          <w:bottom w:w="0" w:type="dxa"/>
          <w:right w:w="108" w:type="dxa"/>
        </w:tblCellMar>
      </w:tblPr>
      <w:tblGrid>
        <w:gridCol w:w="1278"/>
        <w:gridCol w:w="2052"/>
        <w:gridCol w:w="882"/>
        <w:gridCol w:w="1716"/>
        <w:gridCol w:w="858"/>
        <w:gridCol w:w="774"/>
        <w:gridCol w:w="647"/>
        <w:gridCol w:w="1148"/>
        <w:gridCol w:w="647"/>
        <w:gridCol w:w="859"/>
        <w:gridCol w:w="859"/>
        <w:gridCol w:w="1896"/>
      </w:tblGrid>
      <w:tr>
        <w:tblPrEx>
          <w:tblCellMar>
            <w:top w:w="0" w:type="dxa"/>
            <w:left w:w="108" w:type="dxa"/>
            <w:bottom w:w="0" w:type="dxa"/>
            <w:right w:w="108" w:type="dxa"/>
          </w:tblCellMar>
        </w:tblPrEx>
        <w:trPr>
          <w:trHeight w:val="300" w:hRule="atLeast"/>
        </w:trPr>
        <w:tc>
          <w:tcPr>
            <w:tcW w:w="965"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gridSpan w:val="9"/>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一般公共预算财政拨款“三公”经费支出决算表</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965" w:type="dxa"/>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公开07表</w:t>
            </w:r>
          </w:p>
        </w:tc>
      </w:tr>
      <w:tr>
        <w:tblPrEx>
          <w:tblCellMar>
            <w:top w:w="0" w:type="dxa"/>
            <w:left w:w="108" w:type="dxa"/>
            <w:bottom w:w="0" w:type="dxa"/>
            <w:right w:w="108" w:type="dxa"/>
          </w:tblCellMar>
        </w:tblPrEx>
        <w:trPr>
          <w:trHeight w:val="255" w:hRule="atLeast"/>
        </w:trPr>
        <w:tc>
          <w:tcPr>
            <w:tcW w:w="5873" w:type="dxa"/>
            <w:gridSpan w:val="4"/>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7499"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预算数</w:t>
            </w:r>
          </w:p>
        </w:tc>
        <w:tc>
          <w:tcPr>
            <w:tcW w:w="0" w:type="auto"/>
            <w:gridSpan w:val="6"/>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决算数</w:t>
            </w:r>
          </w:p>
        </w:tc>
      </w:tr>
      <w:tr>
        <w:tblPrEx>
          <w:tblCellMar>
            <w:top w:w="0" w:type="dxa"/>
            <w:left w:w="108" w:type="dxa"/>
            <w:bottom w:w="0" w:type="dxa"/>
            <w:right w:w="108" w:type="dxa"/>
          </w:tblCellMar>
        </w:tblPrEx>
        <w:trPr>
          <w:trHeight w:val="308" w:hRule="atLeast"/>
        </w:trPr>
        <w:tc>
          <w:tcPr>
            <w:tcW w:w="965" w:type="dxa"/>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公务接待费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因公出国（境）费</w:t>
            </w:r>
          </w:p>
        </w:tc>
        <w:tc>
          <w:tcPr>
            <w:tcW w:w="0" w:type="auto"/>
            <w:gridSpan w:val="3"/>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公务用车购置及运行费</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公务接待费</w:t>
            </w:r>
          </w:p>
        </w:tc>
      </w:tr>
      <w:tr>
        <w:tblPrEx>
          <w:tblCellMar>
            <w:top w:w="0" w:type="dxa"/>
            <w:left w:w="108" w:type="dxa"/>
            <w:bottom w:w="0" w:type="dxa"/>
            <w:right w:w="108" w:type="dxa"/>
          </w:tblCellMar>
        </w:tblPrEx>
        <w:trPr>
          <w:trHeight w:val="615" w:hRule="atLeast"/>
        </w:trPr>
        <w:tc>
          <w:tcPr>
            <w:tcW w:w="965" w:type="dxa"/>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公务用车运行费</w:t>
            </w: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小计</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公务用车购置费</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公务用车运行费</w:t>
            </w: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965" w:type="dxa"/>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7</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8</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9</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11</w:t>
            </w:r>
          </w:p>
        </w:tc>
        <w:tc>
          <w:tcPr>
            <w:tcW w:w="0" w:type="auto"/>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12</w:t>
            </w:r>
          </w:p>
        </w:tc>
      </w:tr>
      <w:tr>
        <w:tblPrEx>
          <w:tblCellMar>
            <w:top w:w="0" w:type="dxa"/>
            <w:left w:w="108" w:type="dxa"/>
            <w:bottom w:w="0" w:type="dxa"/>
            <w:right w:w="108" w:type="dxa"/>
          </w:tblCellMar>
        </w:tblPrEx>
        <w:trPr>
          <w:trHeight w:val="308" w:hRule="atLeast"/>
        </w:trPr>
        <w:tc>
          <w:tcPr>
            <w:tcW w:w="965" w:type="dxa"/>
            <w:tcBorders>
              <w:top w:val="nil"/>
              <w:left w:val="single" w:color="000000" w:sz="4" w:space="0"/>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1.09</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0.07</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0.00</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0.07</w:t>
            </w:r>
          </w:p>
        </w:tc>
      </w:tr>
      <w:tr>
        <w:tblPrEx>
          <w:tblCellMar>
            <w:top w:w="0" w:type="dxa"/>
            <w:left w:w="108" w:type="dxa"/>
            <w:bottom w:w="0" w:type="dxa"/>
            <w:right w:w="108" w:type="dxa"/>
          </w:tblCellMar>
        </w:tblPrEx>
        <w:trPr>
          <w:trHeight w:val="615" w:hRule="atLeast"/>
        </w:trPr>
        <w:tc>
          <w:tcPr>
            <w:tcW w:w="13616" w:type="dxa"/>
            <w:gridSpan w:val="12"/>
            <w:tcBorders>
              <w:top w:val="nil"/>
              <w:left w:val="nil"/>
              <w:bottom w:val="nil"/>
              <w:right w:val="nil"/>
            </w:tcBorders>
            <w:shd w:val="clear" w:color="auto" w:fill="auto"/>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b/>
                <w:color w:val="000000"/>
                <w:kern w:val="0"/>
                <w:sz w:val="24"/>
              </w:rPr>
            </w:pPr>
          </w:p>
          <w:p>
            <w:pPr>
              <w:widowControl/>
              <w:jc w:val="left"/>
              <w:rPr>
                <w:rFonts w:cs="Arial" w:asciiTheme="minorEastAsia" w:hAnsiTheme="minorEastAsia" w:eastAsiaTheme="minorEastAsia"/>
                <w:b/>
                <w:color w:val="000000"/>
                <w:kern w:val="0"/>
                <w:sz w:val="24"/>
              </w:rPr>
            </w:pPr>
          </w:p>
          <w:p>
            <w:pPr>
              <w:widowControl/>
              <w:jc w:val="left"/>
              <w:rPr>
                <w:rFonts w:ascii="仿宋_GB2312" w:eastAsia="仿宋_GB2312" w:cs="Arial" w:hAnsiTheme="minorEastAsia"/>
                <w:b/>
                <w:color w:val="000000"/>
                <w:kern w:val="0"/>
                <w:sz w:val="32"/>
                <w:szCs w:val="32"/>
              </w:rPr>
            </w:pPr>
            <w:r>
              <w:rPr>
                <w:rFonts w:hint="eastAsia" w:ascii="仿宋_GB2312" w:eastAsia="仿宋_GB2312" w:cs="Arial" w:hAnsiTheme="minorEastAsia"/>
                <w:b/>
                <w:color w:val="000000"/>
                <w:kern w:val="0"/>
                <w:sz w:val="32"/>
                <w:szCs w:val="32"/>
              </w:rPr>
              <w:t>表八：政府性基金预算财政拨款收入支出决算表</w:t>
            </w: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p>
            <w:pPr>
              <w:widowControl/>
              <w:jc w:val="left"/>
              <w:rPr>
                <w:rFonts w:cs="Arial" w:asciiTheme="minorEastAsia" w:hAnsiTheme="minorEastAsia" w:eastAsiaTheme="minorEastAsia"/>
                <w:color w:val="000000"/>
                <w:kern w:val="0"/>
                <w:sz w:val="24"/>
              </w:rPr>
            </w:pPr>
          </w:p>
          <w:tbl>
            <w:tblPr>
              <w:tblStyle w:val="4"/>
              <w:tblW w:w="0" w:type="auto"/>
              <w:tblInd w:w="0" w:type="dxa"/>
              <w:tblLayout w:type="autofit"/>
              <w:tblCellMar>
                <w:top w:w="0" w:type="dxa"/>
                <w:left w:w="108" w:type="dxa"/>
                <w:bottom w:w="0" w:type="dxa"/>
                <w:right w:w="108" w:type="dxa"/>
              </w:tblCellMar>
            </w:tblPr>
            <w:tblGrid>
              <w:gridCol w:w="709"/>
              <w:gridCol w:w="709"/>
              <w:gridCol w:w="709"/>
              <w:gridCol w:w="3663"/>
              <w:gridCol w:w="1729"/>
              <w:gridCol w:w="1101"/>
              <w:gridCol w:w="682"/>
              <w:gridCol w:w="1101"/>
              <w:gridCol w:w="1101"/>
              <w:gridCol w:w="1896"/>
            </w:tblGrid>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gridSpan w:val="6"/>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政府性基金预算财政拨款收入支出决算表</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公开08表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部门：广西壮族自治区人力资源和社会保障信息中心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4"/>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年初结转和结余</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本年收入</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本年支出</w:t>
                  </w:r>
                </w:p>
              </w:tc>
              <w:tc>
                <w:tcPr>
                  <w:tcW w:w="0" w:type="auto"/>
                  <w:vMerge w:val="restart"/>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年末结转和结余</w:t>
                  </w:r>
                </w:p>
              </w:tc>
            </w:tr>
            <w:tr>
              <w:tblPrEx>
                <w:tblCellMar>
                  <w:top w:w="0" w:type="dxa"/>
                  <w:left w:w="108" w:type="dxa"/>
                  <w:bottom w:w="0" w:type="dxa"/>
                  <w:right w:w="108" w:type="dxa"/>
                </w:tblCellMar>
              </w:tblPrEx>
              <w:trPr>
                <w:trHeight w:val="311"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科目名称</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小计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基本支出</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项目支出</w:t>
                  </w: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11"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c>
                <w:tcPr>
                  <w:tcW w:w="0" w:type="auto"/>
                  <w:vMerge w:val="continue"/>
                  <w:tcBorders>
                    <w:top w:val="single" w:color="000000" w:sz="4" w:space="0"/>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4"/>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3</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4</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5</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6</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4"/>
                    </w:rPr>
                  </w:pPr>
                  <w:r>
                    <w:rPr>
                      <w:rFonts w:hint="eastAsia" w:cs="Arial" w:asciiTheme="minorEastAsia" w:hAnsiTheme="minorEastAsia" w:eastAsiaTheme="minorEastAsia"/>
                      <w:b/>
                      <w:bCs/>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　</w:t>
                  </w:r>
                </w:p>
              </w:tc>
            </w:tr>
            <w:tr>
              <w:tblPrEx>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4"/>
                    </w:rPr>
                  </w:pPr>
                  <w:r>
                    <w:rPr>
                      <w:rFonts w:hint="eastAsia" w:cs="Arial" w:asciiTheme="minorEastAsia" w:hAnsiTheme="minorEastAsia" w:eastAsiaTheme="minorEastAsia"/>
                      <w:color w:val="000000"/>
                      <w:kern w:val="0"/>
                      <w:sz w:val="24"/>
                    </w:rPr>
                    <w:t>注：本表反映部门本年度政府性基金预算财政拨款收入、支出及结转和结余情况。</w:t>
                  </w:r>
                </w:p>
              </w:tc>
            </w:tr>
          </w:tbl>
          <w:p>
            <w:pPr>
              <w:widowControl/>
              <w:jc w:val="left"/>
              <w:rPr>
                <w:rFonts w:cs="Arial" w:asciiTheme="minorEastAsia" w:hAnsiTheme="minorEastAsia" w:eastAsiaTheme="minorEastAsia"/>
                <w:color w:val="000000"/>
                <w:kern w:val="0"/>
                <w:sz w:val="24"/>
              </w:rPr>
            </w:pPr>
          </w:p>
        </w:tc>
      </w:tr>
    </w:tbl>
    <w:p>
      <w:pPr>
        <w:autoSpaceDE w:val="0"/>
        <w:autoSpaceDN w:val="0"/>
        <w:adjustRightInd w:val="0"/>
        <w:spacing w:line="560" w:lineRule="exact"/>
        <w:jc w:val="left"/>
        <w:rPr>
          <w:rFonts w:ascii="仿宋" w:hAnsi="仿宋" w:eastAsia="仿宋" w:cs="宋体"/>
          <w:color w:val="000000"/>
          <w:kern w:val="0"/>
          <w:sz w:val="32"/>
          <w:szCs w:val="32"/>
        </w:rPr>
      </w:pPr>
      <w:r>
        <w:rPr>
          <w:rFonts w:hint="eastAsia" w:ascii="仿宋" w:hAnsi="仿宋" w:eastAsia="仿宋" w:cs="宋体"/>
          <w:color w:val="000000"/>
          <w:kern w:val="0"/>
          <w:sz w:val="32"/>
          <w:szCs w:val="32"/>
        </w:rPr>
        <w:t>2020我单位</w:t>
      </w:r>
      <w:r>
        <w:rPr>
          <w:rFonts w:hint="eastAsia" w:ascii="仿宋" w:hAnsi="仿宋" w:eastAsia="仿宋" w:cs="Arial"/>
          <w:color w:val="000000"/>
          <w:kern w:val="0"/>
          <w:sz w:val="32"/>
          <w:szCs w:val="32"/>
        </w:rPr>
        <w:t>政府性基金预算财政拨款收入支出决算表无数据</w:t>
      </w: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cs="宋体" w:asciiTheme="minorEastAsia" w:hAnsiTheme="minorEastAsia" w:eastAsiaTheme="minorEastAsia"/>
          <w:color w:val="000000"/>
          <w:kern w:val="0"/>
          <w:sz w:val="32"/>
          <w:szCs w:val="32"/>
        </w:rPr>
      </w:pPr>
    </w:p>
    <w:p>
      <w:pPr>
        <w:autoSpaceDE w:val="0"/>
        <w:autoSpaceDN w:val="0"/>
        <w:adjustRightInd w:val="0"/>
        <w:spacing w:line="560" w:lineRule="exact"/>
        <w:jc w:val="left"/>
        <w:rPr>
          <w:rFonts w:ascii="仿宋_GB2312" w:hAnsi="仿宋" w:eastAsia="仿宋_GB2312" w:cs="Arial"/>
          <w:b/>
          <w:color w:val="000000"/>
          <w:kern w:val="0"/>
          <w:sz w:val="32"/>
          <w:szCs w:val="32"/>
        </w:rPr>
      </w:pPr>
      <w:r>
        <w:rPr>
          <w:rFonts w:hint="eastAsia" w:ascii="仿宋_GB2312" w:hAnsi="仿宋" w:eastAsia="仿宋_GB2312" w:cs="宋体"/>
          <w:b/>
          <w:color w:val="000000"/>
          <w:kern w:val="0"/>
          <w:sz w:val="32"/>
          <w:szCs w:val="32"/>
        </w:rPr>
        <w:t>表九：</w:t>
      </w:r>
      <w:r>
        <w:rPr>
          <w:rFonts w:hint="eastAsia" w:ascii="仿宋_GB2312" w:hAnsi="仿宋" w:eastAsia="仿宋_GB2312" w:cs="Arial"/>
          <w:b/>
          <w:color w:val="000000"/>
          <w:kern w:val="0"/>
          <w:sz w:val="32"/>
          <w:szCs w:val="32"/>
        </w:rPr>
        <w:t>国有资本经营预算财政拨款支出决算表</w:t>
      </w:r>
    </w:p>
    <w:p>
      <w:pPr>
        <w:autoSpaceDE w:val="0"/>
        <w:autoSpaceDN w:val="0"/>
        <w:adjustRightInd w:val="0"/>
        <w:spacing w:line="560" w:lineRule="exact"/>
        <w:jc w:val="left"/>
        <w:rPr>
          <w:rFonts w:ascii="仿宋" w:hAnsi="仿宋" w:eastAsia="仿宋" w:cs="宋体"/>
          <w:b/>
          <w:color w:val="000000"/>
          <w:kern w:val="0"/>
          <w:sz w:val="32"/>
          <w:szCs w:val="32"/>
        </w:rPr>
      </w:pPr>
    </w:p>
    <w:tbl>
      <w:tblPr>
        <w:tblStyle w:val="4"/>
        <w:tblW w:w="0" w:type="auto"/>
        <w:tblInd w:w="93" w:type="dxa"/>
        <w:tblLayout w:type="autofit"/>
        <w:tblCellMar>
          <w:top w:w="0" w:type="dxa"/>
          <w:left w:w="108" w:type="dxa"/>
          <w:bottom w:w="0" w:type="dxa"/>
          <w:right w:w="108" w:type="dxa"/>
        </w:tblCellMar>
      </w:tblPr>
      <w:tblGrid>
        <w:gridCol w:w="665"/>
        <w:gridCol w:w="665"/>
        <w:gridCol w:w="665"/>
        <w:gridCol w:w="3281"/>
        <w:gridCol w:w="656"/>
        <w:gridCol w:w="1096"/>
        <w:gridCol w:w="1756"/>
      </w:tblGrid>
      <w:tr>
        <w:tblPrEx>
          <w:tblCellMar>
            <w:top w:w="0" w:type="dxa"/>
            <w:left w:w="108" w:type="dxa"/>
            <w:bottom w:w="0" w:type="dxa"/>
            <w:right w:w="108" w:type="dxa"/>
          </w:tblCellMar>
        </w:tblPrEx>
        <w:trPr>
          <w:trHeight w:val="300"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gridSpan w:val="4"/>
            <w:tcBorders>
              <w:top w:val="nil"/>
              <w:left w:val="nil"/>
              <w:bottom w:val="nil"/>
              <w:right w:val="nil"/>
            </w:tcBorders>
            <w:shd w:val="clear" w:color="auto" w:fill="auto"/>
            <w:noWrap/>
            <w:vAlign w:val="bottom"/>
          </w:tcPr>
          <w:p>
            <w:pPr>
              <w:widowControl/>
              <w:jc w:val="center"/>
              <w:rPr>
                <w:rFonts w:cs="Arial" w:asciiTheme="minorEastAsia" w:hAnsiTheme="minorEastAsia" w:eastAsiaTheme="minorEastAsia"/>
                <w:color w:val="000000"/>
                <w:kern w:val="0"/>
                <w:sz w:val="22"/>
                <w:szCs w:val="22"/>
              </w:rPr>
            </w:pPr>
          </w:p>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国有资本经营预算财政拨款支出决算表</w:t>
            </w:r>
          </w:p>
        </w:tc>
      </w:tr>
      <w:tr>
        <w:tblPrEx>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公开09表</w:t>
            </w:r>
          </w:p>
        </w:tc>
      </w:tr>
      <w:tr>
        <w:tblPrEx>
          <w:tblCellMar>
            <w:top w:w="0" w:type="dxa"/>
            <w:left w:w="108" w:type="dxa"/>
            <w:bottom w:w="0" w:type="dxa"/>
            <w:right w:w="108" w:type="dxa"/>
          </w:tblCellMar>
        </w:tblPrEx>
        <w:trPr>
          <w:trHeight w:val="255" w:hRule="atLeast"/>
        </w:trPr>
        <w:tc>
          <w:tcPr>
            <w:tcW w:w="0" w:type="auto"/>
            <w:gridSpan w:val="4"/>
            <w:tcBorders>
              <w:top w:val="nil"/>
              <w:left w:val="nil"/>
              <w:bottom w:val="single" w:color="000000" w:sz="4" w:space="0"/>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部门：广西壮族自治区人力资源和社会保障信息中心</w:t>
            </w: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left"/>
              <w:rPr>
                <w:rFonts w:cs="Arial" w:asciiTheme="minorEastAsia" w:hAnsiTheme="minorEastAsia" w:eastAsiaTheme="minorEastAsia"/>
                <w:color w:val="000000"/>
                <w:kern w:val="0"/>
                <w:sz w:val="22"/>
                <w:szCs w:val="22"/>
              </w:rPr>
            </w:pPr>
          </w:p>
        </w:tc>
        <w:tc>
          <w:tcPr>
            <w:tcW w:w="0" w:type="auto"/>
            <w:tcBorders>
              <w:top w:val="nil"/>
              <w:left w:val="nil"/>
              <w:bottom w:val="nil"/>
              <w:right w:val="nil"/>
            </w:tcBorders>
            <w:shd w:val="clear" w:color="auto" w:fill="auto"/>
            <w:noWrap/>
            <w:vAlign w:val="bottom"/>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金额单位：万元</w:t>
            </w:r>
          </w:p>
        </w:tc>
      </w:tr>
      <w:tr>
        <w:tblPrEx>
          <w:tblCellMar>
            <w:top w:w="0" w:type="dxa"/>
            <w:left w:w="108" w:type="dxa"/>
            <w:bottom w:w="0" w:type="dxa"/>
            <w:right w:w="108" w:type="dxa"/>
          </w:tblCellMar>
        </w:tblPrEx>
        <w:trPr>
          <w:trHeight w:val="308"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w:t>
            </w:r>
          </w:p>
        </w:tc>
        <w:tc>
          <w:tcPr>
            <w:tcW w:w="0" w:type="auto"/>
            <w:gridSpan w:val="3"/>
            <w:tcBorders>
              <w:top w:val="single" w:color="000000" w:sz="4" w:space="0"/>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本年支出</w:t>
            </w:r>
          </w:p>
        </w:tc>
      </w:tr>
      <w:tr>
        <w:tblPrEx>
          <w:tblCellMar>
            <w:top w:w="0" w:type="dxa"/>
            <w:left w:w="108" w:type="dxa"/>
            <w:bottom w:w="0" w:type="dxa"/>
            <w:right w:w="108" w:type="dxa"/>
          </w:tblCellMar>
        </w:tblPrEx>
        <w:trPr>
          <w:trHeight w:val="308" w:hRule="atLeast"/>
        </w:trPr>
        <w:tc>
          <w:tcPr>
            <w:tcW w:w="0" w:type="auto"/>
            <w:gridSpan w:val="3"/>
            <w:vMerge w:val="restart"/>
            <w:tcBorders>
              <w:top w:val="nil"/>
              <w:left w:val="single" w:color="000000" w:sz="4" w:space="0"/>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科目名称</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基本支出</w:t>
            </w:r>
          </w:p>
        </w:tc>
        <w:tc>
          <w:tcPr>
            <w:tcW w:w="0" w:type="auto"/>
            <w:vMerge w:val="restart"/>
            <w:tcBorders>
              <w:top w:val="nil"/>
              <w:left w:val="nil"/>
              <w:bottom w:val="single" w:color="000000" w:sz="4" w:space="0"/>
              <w:right w:val="single" w:color="000000" w:sz="4" w:space="0"/>
            </w:tcBorders>
            <w:shd w:val="clear" w:color="FFFFFF" w:fill="C0C0C0"/>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项目支出</w:t>
            </w:r>
          </w:p>
        </w:tc>
      </w:tr>
      <w:tr>
        <w:tblPrEx>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0" w:type="auto"/>
            <w:gridSpan w:val="3"/>
            <w:vMerge w:val="continue"/>
            <w:tcBorders>
              <w:top w:val="nil"/>
              <w:left w:val="single" w:color="000000" w:sz="4" w:space="0"/>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c>
          <w:tcPr>
            <w:tcW w:w="0" w:type="auto"/>
            <w:vMerge w:val="continue"/>
            <w:tcBorders>
              <w:top w:val="nil"/>
              <w:left w:val="nil"/>
              <w:bottom w:val="single" w:color="000000" w:sz="4" w:space="0"/>
              <w:right w:val="single" w:color="000000" w:sz="4" w:space="0"/>
            </w:tcBorders>
            <w:vAlign w:val="center"/>
          </w:tcPr>
          <w:p>
            <w:pPr>
              <w:widowControl/>
              <w:jc w:val="left"/>
              <w:rPr>
                <w:rFonts w:cs="Arial" w:asciiTheme="minorEastAsia" w:hAnsiTheme="minorEastAsia" w:eastAsiaTheme="minorEastAsia"/>
                <w:color w:val="000000"/>
                <w:kern w:val="0"/>
                <w:sz w:val="22"/>
                <w:szCs w:val="22"/>
              </w:rPr>
            </w:pP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栏次</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1</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2</w:t>
            </w:r>
          </w:p>
        </w:tc>
        <w:tc>
          <w:tcPr>
            <w:tcW w:w="0" w:type="auto"/>
            <w:tcBorders>
              <w:top w:val="nil"/>
              <w:left w:val="nil"/>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3</w:t>
            </w:r>
          </w:p>
        </w:tc>
      </w:tr>
      <w:tr>
        <w:tblPrEx>
          <w:tblCellMar>
            <w:top w:w="0" w:type="dxa"/>
            <w:left w:w="108" w:type="dxa"/>
            <w:bottom w:w="0" w:type="dxa"/>
            <w:right w:w="108" w:type="dxa"/>
          </w:tblCellMar>
        </w:tblPrEx>
        <w:trPr>
          <w:trHeight w:val="308"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widowControl/>
              <w:jc w:val="center"/>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合计</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b/>
                <w:bCs/>
                <w:color w:val="000000"/>
                <w:kern w:val="0"/>
                <w:sz w:val="22"/>
                <w:szCs w:val="22"/>
              </w:rPr>
            </w:pPr>
            <w:r>
              <w:rPr>
                <w:rFonts w:hint="eastAsia" w:cs="Arial" w:asciiTheme="minorEastAsia" w:hAnsiTheme="minorEastAsia" w:eastAsiaTheme="minorEastAsia"/>
                <w:b/>
                <w:bCs/>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c>
          <w:tcPr>
            <w:tcW w:w="0" w:type="auto"/>
            <w:tcBorders>
              <w:top w:val="nil"/>
              <w:left w:val="nil"/>
              <w:bottom w:val="single" w:color="000000" w:sz="4" w:space="0"/>
              <w:right w:val="single" w:color="000000" w:sz="4" w:space="0"/>
            </w:tcBorders>
            <w:shd w:val="clear" w:color="auto" w:fill="auto"/>
            <w:noWrap/>
            <w:vAlign w:val="center"/>
          </w:tcPr>
          <w:p>
            <w:pPr>
              <w:widowControl/>
              <w:jc w:val="righ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　</w:t>
            </w:r>
          </w:p>
        </w:tc>
      </w:tr>
      <w:tr>
        <w:tblPrEx>
          <w:tblCellMar>
            <w:top w:w="0" w:type="dxa"/>
            <w:left w:w="108" w:type="dxa"/>
            <w:bottom w:w="0" w:type="dxa"/>
            <w:right w:w="108" w:type="dxa"/>
          </w:tblCellMar>
        </w:tblPrEx>
        <w:trPr>
          <w:trHeight w:val="308" w:hRule="atLeast"/>
        </w:trPr>
        <w:tc>
          <w:tcPr>
            <w:tcW w:w="0" w:type="auto"/>
            <w:gridSpan w:val="7"/>
            <w:tcBorders>
              <w:top w:val="nil"/>
              <w:left w:val="nil"/>
              <w:bottom w:val="nil"/>
              <w:right w:val="nil"/>
            </w:tcBorders>
            <w:shd w:val="clear" w:color="auto" w:fill="auto"/>
            <w:noWrap/>
            <w:vAlign w:val="center"/>
          </w:tcPr>
          <w:p>
            <w:pPr>
              <w:widowControl/>
              <w:jc w:val="left"/>
              <w:rPr>
                <w:rFonts w:cs="Arial" w:asciiTheme="minorEastAsia" w:hAnsiTheme="minorEastAsia" w:eastAsiaTheme="minorEastAsia"/>
                <w:color w:val="000000"/>
                <w:kern w:val="0"/>
                <w:sz w:val="22"/>
                <w:szCs w:val="22"/>
              </w:rPr>
            </w:pPr>
            <w:r>
              <w:rPr>
                <w:rFonts w:hint="eastAsia" w:cs="Arial" w:asciiTheme="minorEastAsia" w:hAnsiTheme="minorEastAsia" w:eastAsiaTheme="minorEastAsia"/>
                <w:color w:val="000000"/>
                <w:kern w:val="0"/>
                <w:sz w:val="22"/>
                <w:szCs w:val="22"/>
              </w:rPr>
              <w:t>注：本表反映部门本年度国有资本经营预算财政拨款支出情况。</w:t>
            </w:r>
          </w:p>
        </w:tc>
      </w:tr>
    </w:tbl>
    <w:p>
      <w:pPr>
        <w:autoSpaceDE w:val="0"/>
        <w:autoSpaceDN w:val="0"/>
        <w:adjustRightInd w:val="0"/>
        <w:spacing w:line="560" w:lineRule="exact"/>
        <w:jc w:val="left"/>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2020我单位</w:t>
      </w:r>
      <w:r>
        <w:rPr>
          <w:rFonts w:hint="eastAsia" w:ascii="仿宋_GB2312" w:hAnsi="仿宋" w:eastAsia="仿宋_GB2312" w:cs="Arial"/>
          <w:color w:val="000000"/>
          <w:kern w:val="0"/>
          <w:sz w:val="32"/>
          <w:szCs w:val="32"/>
        </w:rPr>
        <w:t>国有资本经营预算财政拨款支出决算表无数据</w:t>
      </w:r>
    </w:p>
    <w:p>
      <w:pPr>
        <w:autoSpaceDE w:val="0"/>
        <w:autoSpaceDN w:val="0"/>
        <w:adjustRightInd w:val="0"/>
        <w:spacing w:line="560" w:lineRule="exact"/>
        <w:jc w:val="left"/>
        <w:rPr>
          <w:rFonts w:ascii="仿宋" w:hAnsi="仿宋" w:eastAsia="仿宋" w:cs="宋体"/>
          <w:b/>
          <w:color w:val="000000"/>
          <w:kern w:val="0"/>
          <w:szCs w:val="21"/>
        </w:rPr>
      </w:pPr>
    </w:p>
    <w:p>
      <w:pPr>
        <w:spacing w:line="560" w:lineRule="exact"/>
        <w:rPr>
          <w:rFonts w:asciiTheme="minorEastAsia" w:hAnsiTheme="minorEastAsia" w:eastAsiaTheme="minorEastAsia"/>
          <w:b/>
          <w:sz w:val="32"/>
          <w:szCs w:val="32"/>
        </w:rPr>
        <w:sectPr>
          <w:pgSz w:w="16838" w:h="11906" w:orient="landscape"/>
          <w:pgMar w:top="1588" w:right="1701" w:bottom="1588" w:left="1644" w:header="851" w:footer="992" w:gutter="0"/>
          <w:cols w:space="425" w:num="1"/>
          <w:docGrid w:linePitch="312" w:charSpace="0"/>
        </w:sectPr>
      </w:pPr>
    </w:p>
    <w:p>
      <w:pPr>
        <w:spacing w:line="560" w:lineRule="exact"/>
        <w:rPr>
          <w:rFonts w:ascii="仿宋" w:hAnsi="仿宋" w:eastAsia="仿宋"/>
          <w:b/>
          <w:sz w:val="44"/>
          <w:szCs w:val="44"/>
        </w:rPr>
      </w:pPr>
    </w:p>
    <w:p>
      <w:pPr>
        <w:spacing w:line="560" w:lineRule="exact"/>
        <w:ind w:left="102" w:hanging="102" w:hangingChars="32"/>
        <w:rPr>
          <w:rFonts w:ascii="黑体" w:hAnsi="黑体" w:eastAsia="黑体"/>
          <w:bCs/>
          <w:color w:val="000000"/>
          <w:sz w:val="32"/>
          <w:szCs w:val="32"/>
        </w:rPr>
      </w:pPr>
      <w:r>
        <w:rPr>
          <w:rFonts w:hint="eastAsia" w:ascii="黑体" w:hAnsi="黑体" w:eastAsia="黑体"/>
          <w:sz w:val="32"/>
          <w:szCs w:val="32"/>
        </w:rPr>
        <w:t>第三部分：</w:t>
      </w:r>
      <w:r>
        <w:rPr>
          <w:rFonts w:hint="eastAsia" w:ascii="黑体" w:hAnsi="黑体" w:eastAsia="黑体"/>
          <w:bCs/>
          <w:color w:val="000000"/>
          <w:sz w:val="32"/>
          <w:szCs w:val="32"/>
        </w:rPr>
        <w:t>广西壮族自治区人力资源和社会保障信息中心</w:t>
      </w:r>
      <w:r>
        <w:rPr>
          <w:rFonts w:hint="eastAsia" w:ascii="黑体" w:hAnsi="黑体" w:eastAsia="黑体"/>
          <w:sz w:val="32"/>
          <w:szCs w:val="32"/>
        </w:rPr>
        <w:t>2020年度部门决算情况说明</w:t>
      </w:r>
    </w:p>
    <w:p>
      <w:pPr>
        <w:spacing w:line="560" w:lineRule="exact"/>
        <w:jc w:val="left"/>
        <w:rPr>
          <w:rFonts w:ascii="黑体" w:hAnsi="黑体" w:eastAsia="黑体"/>
          <w:b/>
          <w:sz w:val="32"/>
          <w:szCs w:val="32"/>
        </w:rPr>
      </w:pPr>
    </w:p>
    <w:p>
      <w:pPr>
        <w:spacing w:line="560" w:lineRule="exact"/>
        <w:jc w:val="left"/>
        <w:rPr>
          <w:rFonts w:ascii="仿宋_GB2312" w:hAnsi="仿宋" w:eastAsia="仿宋_GB2312"/>
          <w:b/>
          <w:sz w:val="32"/>
          <w:szCs w:val="32"/>
        </w:rPr>
      </w:pPr>
      <w:r>
        <w:rPr>
          <w:rFonts w:hint="eastAsia" w:ascii="仿宋_GB2312" w:hAnsi="仿宋" w:eastAsia="仿宋_GB2312"/>
          <w:b/>
          <w:sz w:val="32"/>
          <w:szCs w:val="32"/>
        </w:rPr>
        <w:t xml:space="preserve">    一、2020年收入支出决算总体情况</w:t>
      </w:r>
    </w:p>
    <w:p>
      <w:pPr>
        <w:spacing w:line="560" w:lineRule="exact"/>
        <w:ind w:firstLine="320" w:firstLineChars="100"/>
        <w:jc w:val="left"/>
        <w:rPr>
          <w:rFonts w:ascii="仿宋_GB2312" w:hAnsi="仿宋" w:eastAsia="仿宋_GB2312"/>
          <w:sz w:val="32"/>
          <w:szCs w:val="32"/>
        </w:rPr>
      </w:pPr>
      <w:r>
        <w:rPr>
          <w:rFonts w:hint="eastAsia" w:ascii="仿宋_GB2312" w:hAnsi="仿宋" w:eastAsia="仿宋_GB2312"/>
          <w:sz w:val="32"/>
          <w:szCs w:val="32"/>
        </w:rPr>
        <w:t>（一）收入总计4690.06万元，其中本年收入4353.17万元。</w:t>
      </w:r>
    </w:p>
    <w:p>
      <w:pPr>
        <w:spacing w:line="560" w:lineRule="exact"/>
        <w:ind w:firstLine="566" w:firstLineChars="177"/>
        <w:jc w:val="left"/>
        <w:rPr>
          <w:rFonts w:ascii="仿宋_GB2312" w:hAnsi="仿宋" w:eastAsia="仿宋_GB2312" w:cs="仿宋_GB2312"/>
          <w:kern w:val="0"/>
          <w:sz w:val="32"/>
          <w:szCs w:val="32"/>
        </w:rPr>
      </w:pPr>
      <w:r>
        <w:rPr>
          <w:rFonts w:hint="eastAsia" w:ascii="仿宋_GB2312" w:hAnsi="仿宋" w:eastAsia="仿宋_GB2312"/>
          <w:sz w:val="32"/>
          <w:szCs w:val="32"/>
        </w:rPr>
        <w:t>1.财政拨款收入4299.81万元，为当年自治区本级一般公共预算财政拨款资金。较2019年决算数减少739.37万元，减少14.67%。</w:t>
      </w:r>
      <w:r>
        <w:rPr>
          <w:rFonts w:hint="eastAsia" w:ascii="仿宋_GB2312" w:hAnsi="仿宋" w:eastAsia="仿宋_GB2312" w:cs="仿宋_GB2312"/>
          <w:kern w:val="0"/>
          <w:sz w:val="32"/>
          <w:szCs w:val="32"/>
        </w:rPr>
        <w:t>财政拨款收入减少的原因主要是：一是</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。二是受全国疫情影响，很多业务项目活动无法开展相应项目经费收入减少。</w:t>
      </w:r>
    </w:p>
    <w:p>
      <w:pPr>
        <w:tabs>
          <w:tab w:val="left" w:pos="567"/>
        </w:tabs>
        <w:spacing w:line="560" w:lineRule="exact"/>
        <w:ind w:firstLine="425" w:firstLineChars="133"/>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 xml:space="preserve"> </w:t>
      </w:r>
      <w:r>
        <w:rPr>
          <w:rFonts w:hint="eastAsia" w:ascii="仿宋_GB2312" w:hAnsi="仿宋" w:eastAsia="仿宋_GB2312"/>
          <w:sz w:val="32"/>
          <w:szCs w:val="32"/>
        </w:rPr>
        <w:t>2.无上级补助收入。</w:t>
      </w:r>
    </w:p>
    <w:p>
      <w:pPr>
        <w:spacing w:line="560" w:lineRule="exact"/>
        <w:ind w:firstLine="566" w:firstLineChars="177"/>
        <w:jc w:val="left"/>
        <w:rPr>
          <w:rFonts w:ascii="仿宋_GB2312" w:hAnsi="仿宋" w:eastAsia="仿宋_GB2312"/>
          <w:sz w:val="32"/>
          <w:szCs w:val="32"/>
        </w:rPr>
      </w:pPr>
      <w:r>
        <w:rPr>
          <w:rFonts w:hint="eastAsia" w:ascii="仿宋_GB2312" w:hAnsi="仿宋" w:eastAsia="仿宋_GB2312"/>
          <w:sz w:val="32"/>
          <w:szCs w:val="32"/>
        </w:rPr>
        <w:t>3.无事业收入。</w:t>
      </w:r>
    </w:p>
    <w:p>
      <w:pPr>
        <w:spacing w:line="560" w:lineRule="exact"/>
        <w:ind w:firstLine="566" w:firstLineChars="177"/>
        <w:jc w:val="left"/>
        <w:rPr>
          <w:rFonts w:ascii="仿宋_GB2312" w:hAnsi="仿宋" w:eastAsia="仿宋_GB2312"/>
          <w:sz w:val="32"/>
          <w:szCs w:val="32"/>
        </w:rPr>
      </w:pPr>
      <w:r>
        <w:rPr>
          <w:rFonts w:hint="eastAsia" w:ascii="仿宋_GB2312" w:hAnsi="仿宋" w:eastAsia="仿宋_GB2312"/>
          <w:sz w:val="32"/>
          <w:szCs w:val="32"/>
        </w:rPr>
        <w:t>4.无经营收入。</w:t>
      </w:r>
    </w:p>
    <w:p>
      <w:pPr>
        <w:spacing w:line="560" w:lineRule="exact"/>
        <w:ind w:firstLine="566" w:firstLineChars="177"/>
        <w:jc w:val="left"/>
        <w:rPr>
          <w:rFonts w:ascii="仿宋_GB2312" w:hAnsi="仿宋" w:eastAsia="仿宋_GB2312"/>
          <w:sz w:val="32"/>
          <w:szCs w:val="32"/>
        </w:rPr>
      </w:pPr>
      <w:r>
        <w:rPr>
          <w:rFonts w:hint="eastAsia" w:ascii="仿宋_GB2312" w:hAnsi="仿宋" w:eastAsia="仿宋_GB2312"/>
          <w:sz w:val="32"/>
          <w:szCs w:val="32"/>
        </w:rPr>
        <w:t>5.其他收入53.35万元，为预算单位在“财政拨款收入”、“事业收入”“经营收入”以外取得的收入，同比增加46.74万元，增长707.11%。增加原因是2020年人社部拨入项目经费导致其他收入增加。</w:t>
      </w:r>
    </w:p>
    <w:p>
      <w:pPr>
        <w:spacing w:line="560" w:lineRule="exact"/>
        <w:ind w:firstLine="640" w:firstLineChars="200"/>
        <w:jc w:val="left"/>
        <w:rPr>
          <w:rFonts w:ascii="仿宋_GB2312" w:hAnsi="仿宋" w:eastAsia="仿宋_GB2312"/>
          <w:color w:val="FF0000"/>
          <w:sz w:val="32"/>
          <w:szCs w:val="32"/>
        </w:rPr>
      </w:pPr>
      <w:r>
        <w:rPr>
          <w:rFonts w:hint="eastAsia" w:ascii="仿宋_GB2312" w:hAnsi="仿宋" w:eastAsia="仿宋_GB2312"/>
          <w:sz w:val="32"/>
          <w:szCs w:val="32"/>
        </w:rPr>
        <w:t>6.年初结转和结余336.89万元。较2019年初结转和减少1315.41万元，减少79.61%，原因是2019年底有财政应返还额度，2020年底财政收回全部用款结转结余指标，无财政应返还额度。</w:t>
      </w:r>
    </w:p>
    <w:p>
      <w:pPr>
        <w:autoSpaceDE w:val="0"/>
        <w:autoSpaceDN w:val="0"/>
        <w:adjustRightInd w:val="0"/>
        <w:spacing w:line="560" w:lineRule="exact"/>
        <w:ind w:firstLine="627" w:firstLineChars="196"/>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（二）本单位2020年度总支出4690.06万元，其中本年支出4360.46万元, 较2019年度决算数减少1960.57万元，</w:t>
      </w:r>
      <w:r>
        <w:rPr>
          <w:rFonts w:hint="eastAsia" w:ascii="仿宋_GB2312" w:hAnsi="仿宋" w:eastAsia="仿宋_GB2312"/>
          <w:sz w:val="32"/>
          <w:szCs w:val="32"/>
        </w:rPr>
        <w:t>减少31.02</w:t>
      </w:r>
      <w:r>
        <w:rPr>
          <w:rFonts w:hint="eastAsia" w:ascii="仿宋_GB2312" w:hAnsi="仿宋" w:eastAsia="仿宋_GB2312" w:cs="仿宋_GB2312"/>
          <w:kern w:val="0"/>
          <w:sz w:val="32"/>
          <w:szCs w:val="32"/>
        </w:rPr>
        <w:t>%。支出具体情况如下：</w:t>
      </w:r>
    </w:p>
    <w:p>
      <w:pPr>
        <w:spacing w:line="560" w:lineRule="exact"/>
        <w:ind w:firstLine="800" w:firstLineChars="250"/>
        <w:jc w:val="left"/>
        <w:rPr>
          <w:rFonts w:ascii="仿宋_GB2312" w:hAnsi="仿宋" w:eastAsia="仿宋_GB2312" w:cs="仿宋_GB2312"/>
          <w:kern w:val="0"/>
          <w:sz w:val="32"/>
          <w:szCs w:val="32"/>
        </w:rPr>
      </w:pPr>
      <w:r>
        <w:rPr>
          <w:rFonts w:hint="eastAsia" w:ascii="仿宋_GB2312" w:hAnsi="仿宋" w:eastAsia="仿宋_GB2312"/>
          <w:bCs/>
          <w:kern w:val="0"/>
          <w:sz w:val="32"/>
          <w:szCs w:val="32"/>
        </w:rPr>
        <w:t>1</w:t>
      </w:r>
      <w:r>
        <w:rPr>
          <w:rFonts w:hint="eastAsia" w:ascii="仿宋_GB2312" w:hAnsi="仿宋" w:eastAsia="仿宋_GB2312" w:cs="仿宋_GB2312"/>
          <w:kern w:val="0"/>
          <w:sz w:val="32"/>
          <w:szCs w:val="32"/>
        </w:rPr>
        <w:t>.一般公共服务支出374.94万元：主要用于</w:t>
      </w:r>
      <w:r>
        <w:rPr>
          <w:rFonts w:hint="eastAsia" w:ascii="仿宋_GB2312" w:hAnsi="仿宋" w:eastAsia="仿宋_GB2312"/>
          <w:sz w:val="32"/>
          <w:szCs w:val="32"/>
        </w:rPr>
        <w:t>一是广西壮族自治区人力资源和社会保障信息中心在职人员和聘用人员工资福利及单位日常运转支出。二是广西壮族自治区人力资源和社会保障信息中心为履行本单位职能开展的项目经费支出。</w:t>
      </w:r>
      <w:r>
        <w:rPr>
          <w:rFonts w:hint="eastAsia" w:ascii="仿宋_GB2312" w:hAnsi="仿宋" w:eastAsia="仿宋_GB2312" w:cs="仿宋_GB2312"/>
          <w:kern w:val="0"/>
          <w:sz w:val="32"/>
          <w:szCs w:val="32"/>
        </w:rPr>
        <w:t>较2019年度决算数减少171.49万元，减少31.38%，减少的原因：一是</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。二是受全国疫情影响，很多业务项目活动无法开展，相应项目经费收入减少。</w:t>
      </w:r>
    </w:p>
    <w:p>
      <w:pPr>
        <w:spacing w:line="560" w:lineRule="exact"/>
        <w:ind w:firstLine="707" w:firstLineChars="221"/>
        <w:jc w:val="left"/>
        <w:rPr>
          <w:rFonts w:ascii="仿宋_GB2312" w:hAnsi="仿宋" w:eastAsia="仿宋_GB2312" w:cs="仿宋_GB2312"/>
          <w:kern w:val="0"/>
          <w:sz w:val="32"/>
          <w:szCs w:val="32"/>
        </w:rPr>
      </w:pPr>
      <w:r>
        <w:rPr>
          <w:rFonts w:hint="eastAsia" w:ascii="仿宋_GB2312" w:hAnsi="仿宋" w:eastAsia="仿宋_GB2312"/>
          <w:sz w:val="32"/>
          <w:szCs w:val="32"/>
        </w:rPr>
        <w:t>2.社会保障和就业支出3967.90万元。主要用于以下支出：广西壮族自治区人力资源和社会保障信息中心在职人员机关事业养老保险缴费、职业年金缴费支出、人社信息化项目经费支出。较2019年度决算数同比减少1790.35万元，降低31.09%，原因是：</w:t>
      </w:r>
      <w:r>
        <w:rPr>
          <w:rFonts w:hint="eastAsia" w:ascii="仿宋_GB2312" w:hAnsi="仿宋" w:eastAsia="仿宋_GB2312" w:cs="仿宋_GB2312"/>
          <w:kern w:val="0"/>
          <w:sz w:val="32"/>
          <w:szCs w:val="32"/>
        </w:rPr>
        <w:fldChar w:fldCharType="begin"/>
      </w:r>
      <w:r>
        <w:rPr>
          <w:rFonts w:hint="eastAsia" w:ascii="仿宋_GB2312" w:hAnsi="仿宋" w:eastAsia="仿宋_GB2312" w:cs="仿宋_GB2312"/>
          <w:kern w:val="0"/>
          <w:sz w:val="32"/>
          <w:szCs w:val="32"/>
        </w:rPr>
        <w:instrText xml:space="preserve"> = 1 \* GB2 </w:instrText>
      </w:r>
      <w:r>
        <w:rPr>
          <w:rFonts w:hint="eastAsia" w:ascii="仿宋_GB2312" w:hAnsi="仿宋" w:eastAsia="仿宋_GB2312" w:cs="仿宋_GB2312"/>
          <w:kern w:val="0"/>
          <w:sz w:val="32"/>
          <w:szCs w:val="32"/>
        </w:rPr>
        <w:fldChar w:fldCharType="separate"/>
      </w:r>
      <w:r>
        <w:rPr>
          <w:rFonts w:hint="eastAsia" w:ascii="仿宋_GB2312" w:hAnsi="仿宋" w:eastAsia="仿宋_GB2312" w:cs="仿宋_GB2312"/>
          <w:kern w:val="0"/>
          <w:sz w:val="32"/>
          <w:szCs w:val="32"/>
        </w:rPr>
        <w:t>⑴</w:t>
      </w:r>
      <w:r>
        <w:rPr>
          <w:rFonts w:hint="eastAsia" w:ascii="仿宋_GB2312" w:hAnsi="仿宋" w:eastAsia="仿宋_GB2312" w:cs="仿宋_GB2312"/>
          <w:kern w:val="0"/>
          <w:sz w:val="32"/>
          <w:szCs w:val="32"/>
        </w:rPr>
        <w:fldChar w:fldCharType="end"/>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w:t>
      </w:r>
      <w:r>
        <w:rPr>
          <w:rFonts w:hint="eastAsia" w:ascii="仿宋_GB2312" w:hAnsi="仿宋" w:eastAsia="仿宋_GB2312" w:cs="仿宋_GB2312"/>
          <w:sz w:val="32"/>
          <w:szCs w:val="32"/>
        </w:rPr>
        <w:fldChar w:fldCharType="begin"/>
      </w:r>
      <w:r>
        <w:rPr>
          <w:rFonts w:hint="eastAsia" w:ascii="仿宋_GB2312" w:hAnsi="仿宋" w:eastAsia="仿宋_GB2312" w:cs="仿宋_GB2312"/>
          <w:sz w:val="32"/>
          <w:szCs w:val="32"/>
        </w:rPr>
        <w:instrText xml:space="preserve"> = 2 \* GB2 </w:instrText>
      </w:r>
      <w:r>
        <w:rPr>
          <w:rFonts w:hint="eastAsia" w:ascii="仿宋_GB2312" w:hAnsi="仿宋" w:eastAsia="仿宋_GB2312" w:cs="仿宋_GB2312"/>
          <w:sz w:val="32"/>
          <w:szCs w:val="32"/>
        </w:rPr>
        <w:fldChar w:fldCharType="separate"/>
      </w:r>
      <w:r>
        <w:rPr>
          <w:rFonts w:hint="eastAsia" w:ascii="仿宋_GB2312" w:hAnsi="仿宋" w:eastAsia="仿宋_GB2312" w:cs="仿宋_GB2312"/>
          <w:sz w:val="32"/>
          <w:szCs w:val="32"/>
        </w:rPr>
        <w:t>⑵</w:t>
      </w:r>
      <w:r>
        <w:rPr>
          <w:rFonts w:hint="eastAsia" w:ascii="仿宋_GB2312" w:hAnsi="仿宋" w:eastAsia="仿宋_GB2312" w:cs="仿宋_GB2312"/>
          <w:sz w:val="32"/>
          <w:szCs w:val="32"/>
        </w:rPr>
        <w:fldChar w:fldCharType="end"/>
      </w:r>
      <w:r>
        <w:rPr>
          <w:rFonts w:hint="eastAsia" w:ascii="仿宋_GB2312" w:hAnsi="仿宋" w:eastAsia="仿宋_GB2312" w:cs="仿宋_GB2312"/>
          <w:sz w:val="32"/>
          <w:szCs w:val="32"/>
        </w:rPr>
        <w:t>受全国疫情影响，很多业务项目活动无法开展相应项目经费收入减少。</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3.卫生健康支出6.65万元，较2019年度决算数同比增加0.36万元，增加5.72%，用于为本单位职工缴纳医疗保险。增加主要原因是2020年社保缴费基数增加引起医疗保险缴费增加。</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4.住房保障支出10.97万元，较上年度决算增加0.9万元，增加8.94%，用于为本单位职工缴纳住房公积金。住房公积金缴费增加的原因是因为2020年缴费基数提高引起。</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5.结余分配0元，2020年无结余分配。</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6.年末结转和结余329.59万元，比2019年同期减少47.47万元，其中财政拨款结转和结余增加8.99万元，增长5.87%，非财政补助结转结余减少56.46万元，减少25.21%，结转结余的减少由以上变化共同引起。</w:t>
      </w:r>
    </w:p>
    <w:p>
      <w:pPr>
        <w:spacing w:line="560" w:lineRule="exact"/>
        <w:ind w:firstLine="803" w:firstLineChars="250"/>
        <w:jc w:val="left"/>
        <w:rPr>
          <w:rFonts w:ascii="仿宋_GB2312" w:hAnsi="仿宋" w:eastAsia="仿宋_GB2312"/>
          <w:b/>
          <w:sz w:val="32"/>
          <w:szCs w:val="32"/>
        </w:rPr>
      </w:pPr>
      <w:r>
        <w:rPr>
          <w:rFonts w:hint="eastAsia" w:ascii="仿宋_GB2312" w:hAnsi="仿宋" w:eastAsia="仿宋_GB2312"/>
          <w:b/>
          <w:sz w:val="32"/>
          <w:szCs w:val="32"/>
        </w:rPr>
        <w:t>二、2020年度一般公共预算财政拨款支出决算情况</w:t>
      </w:r>
    </w:p>
    <w:p>
      <w:pPr>
        <w:spacing w:line="560" w:lineRule="exact"/>
        <w:ind w:firstLine="707" w:firstLineChars="221"/>
        <w:jc w:val="left"/>
        <w:rPr>
          <w:rFonts w:ascii="仿宋_GB2312" w:hAnsi="仿宋" w:eastAsia="仿宋_GB2312" w:cs="仿宋_GB2312"/>
          <w:kern w:val="0"/>
          <w:sz w:val="32"/>
          <w:szCs w:val="32"/>
        </w:rPr>
      </w:pPr>
      <w:r>
        <w:rPr>
          <w:rFonts w:hint="eastAsia" w:ascii="仿宋_GB2312" w:hAnsi="仿宋" w:eastAsia="仿宋_GB2312"/>
          <w:sz w:val="32"/>
          <w:szCs w:val="32"/>
        </w:rPr>
        <w:t>广西壮族自治区人力资源和社会保障信息中心2020年度一般公共预算财政拨款支出4308.01万元，其中基本支出162.11万元，项目支出4145.90万元；较2019年决算减少2000.04万元，减少31.71%，减少的原因是：</w:t>
      </w:r>
      <w:r>
        <w:rPr>
          <w:rFonts w:hint="eastAsia" w:ascii="仿宋_GB2312" w:hAnsi="仿宋" w:eastAsia="仿宋_GB2312" w:cs="仿宋_GB2312"/>
          <w:kern w:val="0"/>
          <w:sz w:val="32"/>
          <w:szCs w:val="32"/>
        </w:rPr>
        <w:t>一是</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。二是受全国疫情影响，很多业务项目活动无法开展。按功能分类详细说明如下：</w:t>
      </w:r>
    </w:p>
    <w:p>
      <w:pPr>
        <w:autoSpaceDE w:val="0"/>
        <w:autoSpaceDN w:val="0"/>
        <w:adjustRightInd w:val="0"/>
        <w:spacing w:line="560" w:lineRule="exact"/>
        <w:ind w:firstLine="629" w:firstLineChars="196"/>
        <w:jc w:val="left"/>
        <w:rPr>
          <w:rFonts w:ascii="仿宋_GB2312" w:hAnsi="仿宋" w:eastAsia="仿宋_GB2312" w:cs="仿宋_GB2312"/>
          <w:kern w:val="0"/>
          <w:sz w:val="32"/>
          <w:szCs w:val="32"/>
        </w:rPr>
      </w:pPr>
      <w:r>
        <w:rPr>
          <w:rFonts w:hint="eastAsia" w:ascii="仿宋_GB2312" w:hAnsi="仿宋" w:eastAsia="仿宋_GB2312" w:cs="仿宋_GB2312"/>
          <w:b/>
          <w:kern w:val="0"/>
          <w:sz w:val="32"/>
          <w:szCs w:val="32"/>
        </w:rPr>
        <w:t>（一）</w:t>
      </w:r>
      <w:r>
        <w:rPr>
          <w:rFonts w:hint="eastAsia" w:ascii="仿宋_GB2312" w:hAnsi="仿宋" w:eastAsia="仿宋_GB2312" w:cs="仿宋_GB2312"/>
          <w:kern w:val="0"/>
          <w:sz w:val="32"/>
          <w:szCs w:val="32"/>
        </w:rPr>
        <w:t>一般公共服务支出功能分类下的事业运行支出322.48万元，较2019年度决算数减少210.97万元，减少39.55%，减少的原因是因为：一是</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。二是受全国疫情影响，很多业务项目活动无法开展相应项目经费收入减少。</w:t>
      </w:r>
    </w:p>
    <w:p>
      <w:pPr>
        <w:spacing w:line="560" w:lineRule="exact"/>
        <w:ind w:firstLine="709" w:firstLineChars="221"/>
        <w:jc w:val="left"/>
        <w:rPr>
          <w:rFonts w:ascii="仿宋_GB2312" w:hAnsi="仿宋" w:eastAsia="仿宋_GB2312"/>
          <w:sz w:val="32"/>
          <w:szCs w:val="32"/>
        </w:rPr>
      </w:pPr>
      <w:r>
        <w:rPr>
          <w:rFonts w:hint="eastAsia" w:ascii="仿宋_GB2312" w:hAnsi="仿宋" w:eastAsia="仿宋_GB2312"/>
          <w:b/>
          <w:sz w:val="32"/>
          <w:szCs w:val="32"/>
        </w:rPr>
        <w:t>（二）</w:t>
      </w:r>
      <w:r>
        <w:rPr>
          <w:rFonts w:hint="eastAsia" w:ascii="仿宋_GB2312" w:hAnsi="仿宋" w:eastAsia="仿宋_GB2312"/>
          <w:sz w:val="32"/>
          <w:szCs w:val="32"/>
        </w:rPr>
        <w:t>社会保障和就业支出3967.90万元，较2019年度决算数同比减少1790.35万元，降低31.09%，原因是：</w:t>
      </w:r>
      <w:r>
        <w:rPr>
          <w:rFonts w:hint="eastAsia" w:ascii="仿宋_GB2312" w:hAnsi="仿宋" w:eastAsia="仿宋_GB2312" w:cs="仿宋_GB2312"/>
          <w:kern w:val="0"/>
          <w:sz w:val="32"/>
          <w:szCs w:val="32"/>
        </w:rPr>
        <w:t>一是</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。二是受全国疫情影响，很多业务项目活动无法开展相应项目经费收入减少。</w:t>
      </w:r>
      <w:r>
        <w:rPr>
          <w:rFonts w:hint="eastAsia" w:ascii="仿宋_GB2312" w:hAnsi="仿宋" w:eastAsia="仿宋_GB2312"/>
          <w:sz w:val="32"/>
          <w:szCs w:val="32"/>
        </w:rPr>
        <w:t>分类如下：</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1.人力资源和社会保障管理事务功能分类下的信息化建设2020年支出3945.97万元，较2019年减少1768.01万元，减少30.94%，减少的原因：2020年度</w:t>
      </w:r>
      <w:r>
        <w:rPr>
          <w:rFonts w:hint="eastAsia" w:ascii="仿宋_GB2312" w:hAnsi="仿宋" w:eastAsia="仿宋_GB2312" w:cs="仿宋_GB2312"/>
          <w:sz w:val="32"/>
          <w:szCs w:val="32"/>
        </w:rPr>
        <w:t>落实政府过紧日子要求，我单位大力压减一般性支出</w:t>
      </w:r>
      <w:r>
        <w:rPr>
          <w:rFonts w:hint="eastAsia" w:ascii="仿宋_GB2312" w:hAnsi="仿宋" w:eastAsia="仿宋_GB2312" w:cs="仿宋_GB2312"/>
          <w:kern w:val="0"/>
          <w:sz w:val="32"/>
          <w:szCs w:val="32"/>
        </w:rPr>
        <w:t>，统一按10%的比例压减项目资金支出导致</w:t>
      </w:r>
      <w:r>
        <w:rPr>
          <w:rFonts w:hint="eastAsia" w:ascii="仿宋_GB2312" w:hAnsi="仿宋" w:eastAsia="仿宋_GB2312" w:cs="仿宋_GB2312"/>
          <w:sz w:val="32"/>
          <w:szCs w:val="32"/>
        </w:rPr>
        <w:t>。</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2.行政事业单位养老支出21.94万元，与2019年比减少22.33万元，减少50.44%，详细如下：</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（1）机关事业单位基本养老保险缴费支出14.63万元，比2019年减少22.93万元，减少61.05%，原因是2019年在职人员社保基金清算补缴了部分差额款，2020年没有此项开支。</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（2）机关事业单位职业年金缴费支出7.31万元，比去年增加0.6万元，增加8.94%，差异是因为2020年职业年金缴费基数提高引起。</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（三）卫生健康支出类的行政事业单位医疗支出2020支出6.65万元，较2019年度决算数增加0.36万元，增加5.72%，增长的原因是：2020年社保缴费基数提高引起缴费支出增加。</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（四）住房保障支出类的住房公积金支出10.97万元，较上年度决算增加0.9万元，增加8.94%，用于为本单位职工缴纳住房公积金，住房公积金缴费增加的原因是因为2020年缴费基数增加引起。</w:t>
      </w:r>
    </w:p>
    <w:p>
      <w:pPr>
        <w:spacing w:line="560" w:lineRule="exact"/>
        <w:ind w:firstLine="629" w:firstLineChars="196"/>
        <w:jc w:val="left"/>
        <w:rPr>
          <w:rFonts w:ascii="仿宋_GB2312" w:hAnsi="仿宋" w:eastAsia="仿宋_GB2312"/>
          <w:b/>
          <w:sz w:val="32"/>
          <w:szCs w:val="32"/>
        </w:rPr>
      </w:pPr>
      <w:r>
        <w:rPr>
          <w:rFonts w:hint="eastAsia" w:ascii="仿宋_GB2312" w:hAnsi="仿宋" w:eastAsia="仿宋_GB2312"/>
          <w:b/>
          <w:sz w:val="32"/>
          <w:szCs w:val="32"/>
        </w:rPr>
        <w:t>三、2020年度一般公共预算财政拨款基本支出决算情况说明</w:t>
      </w:r>
    </w:p>
    <w:p>
      <w:pPr>
        <w:spacing w:line="560" w:lineRule="exact"/>
        <w:jc w:val="left"/>
        <w:rPr>
          <w:rFonts w:ascii="仿宋_GB2312" w:hAnsi="仿宋" w:eastAsia="仿宋_GB2312"/>
          <w:sz w:val="32"/>
          <w:szCs w:val="32"/>
        </w:rPr>
      </w:pPr>
      <w:r>
        <w:rPr>
          <w:rFonts w:hint="eastAsia" w:ascii="仿宋_GB2312" w:hAnsi="仿宋" w:eastAsia="仿宋_GB2312"/>
          <w:sz w:val="32"/>
          <w:szCs w:val="32"/>
        </w:rPr>
        <w:t xml:space="preserve">    2020年度一般公共预算财政拨款基本支出162.11万元，较2019年153.12万元增加8.99万元，增加5.87%，其中人员经费154.83万元，主要包括：基本工资、津贴补贴、奖金、社会保障缴费、住房公积金、以及其他对个人和家庭的补助；公用经费7.28万元，主要包括：办公费、印刷费、手续费、水电费、邮电费、差旅费、维修（护）费、会议费、培训费、劳务费、工会经费、福利费、其他交通费以及其他商品和服务支出。2020年基本支出中工资及福利支出151.76万元，比上年度增加12.33万元，增加8.84%。增加的原因为：2020年在职人员奖励性绩效工资提高引起工资福利支出增加。2020年基本支出中的商品和服务支出7.28万元，较上年度减少3.92万元，减少35%，主要是办公费、福利费、劳务费、委托业务费、公务用车运行维护费减少引起。2020年基本支出中对个人和家庭的补助支出3.07万元，比上年度增加0.59万元，增加23.79%，主要是其他对个人和家庭的补助支出减少导致。</w:t>
      </w:r>
    </w:p>
    <w:p>
      <w:pPr>
        <w:spacing w:line="560" w:lineRule="exact"/>
        <w:ind w:firstLine="642" w:firstLineChars="200"/>
        <w:jc w:val="left"/>
        <w:rPr>
          <w:rFonts w:ascii="仿宋_GB2312" w:hAnsi="仿宋" w:eastAsia="仿宋_GB2312"/>
          <w:b/>
          <w:sz w:val="32"/>
          <w:szCs w:val="32"/>
        </w:rPr>
      </w:pPr>
      <w:r>
        <w:rPr>
          <w:rFonts w:hint="eastAsia" w:ascii="仿宋_GB2312" w:hAnsi="仿宋" w:eastAsia="仿宋_GB2312"/>
          <w:b/>
          <w:sz w:val="32"/>
          <w:szCs w:val="32"/>
        </w:rPr>
        <w:t>四、2020年度政府性基金支出决算情况</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广西壮族自治区人力资源和社会保障信息中心2020年度政府性基金支出0万元，其中基本支出0万元，项目支出0万元。</w:t>
      </w:r>
    </w:p>
    <w:p>
      <w:pPr>
        <w:spacing w:line="560" w:lineRule="exact"/>
        <w:ind w:firstLine="642" w:firstLineChars="200"/>
        <w:jc w:val="left"/>
        <w:rPr>
          <w:rFonts w:ascii="仿宋_GB2312" w:hAnsi="仿宋" w:eastAsia="仿宋_GB2312"/>
          <w:b/>
          <w:sz w:val="32"/>
          <w:szCs w:val="32"/>
        </w:rPr>
      </w:pPr>
      <w:r>
        <w:rPr>
          <w:rFonts w:hint="eastAsia" w:ascii="仿宋_GB2312" w:hAnsi="仿宋" w:eastAsia="仿宋_GB2312"/>
          <w:b/>
          <w:sz w:val="32"/>
          <w:szCs w:val="32"/>
        </w:rPr>
        <w:t>五、2020年度国有资本经营预算财政拨款支出决算情况</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sz w:val="32"/>
          <w:szCs w:val="32"/>
        </w:rPr>
        <w:t>广西壮族自治区人力资源和社会保障信息中心2020年度国有资本经营预算支出0万元，其中基本支出0万元，项目支出0万元。</w:t>
      </w:r>
    </w:p>
    <w:p>
      <w:pPr>
        <w:spacing w:line="560" w:lineRule="exact"/>
        <w:ind w:firstLine="642" w:firstLineChars="200"/>
        <w:jc w:val="left"/>
        <w:rPr>
          <w:rFonts w:ascii="仿宋_GB2312" w:hAnsi="仿宋" w:eastAsia="仿宋_GB2312"/>
          <w:b/>
          <w:sz w:val="32"/>
          <w:szCs w:val="32"/>
        </w:rPr>
      </w:pPr>
      <w:r>
        <w:rPr>
          <w:rFonts w:hint="eastAsia" w:ascii="仿宋_GB2312" w:hAnsi="仿宋" w:eastAsia="仿宋_GB2312"/>
          <w:b/>
          <w:sz w:val="32"/>
          <w:szCs w:val="32"/>
        </w:rPr>
        <w:t>六、一般公共预算财政拨款“三公”经费支出决算情况说明。</w:t>
      </w:r>
    </w:p>
    <w:p>
      <w:pPr>
        <w:spacing w:line="560" w:lineRule="exact"/>
        <w:ind w:firstLine="800" w:firstLineChars="250"/>
        <w:jc w:val="left"/>
        <w:rPr>
          <w:rFonts w:ascii="仿宋_GB2312" w:hAnsi="仿宋" w:eastAsia="仿宋_GB2312"/>
          <w:sz w:val="32"/>
          <w:szCs w:val="32"/>
        </w:rPr>
      </w:pPr>
      <w:r>
        <w:rPr>
          <w:rFonts w:hint="eastAsia" w:ascii="仿宋_GB2312" w:hAnsi="仿宋" w:eastAsia="仿宋_GB2312"/>
          <w:sz w:val="32"/>
          <w:szCs w:val="32"/>
        </w:rPr>
        <w:t>2020年度一般公共预算财政拨款安排的“三公”经费支出决算中，2020年公共财政资金安排的“三公经费”支出0.07万元，全部为公务接待费支出0.07万元，与2019年相比较减少0.35万元，同比减少83.33%，“三公”经费年初部门预算1.09万元，年度预决算执行率为6.42%，具体情况说明如下：</w:t>
      </w:r>
    </w:p>
    <w:p>
      <w:pPr>
        <w:autoSpaceDE w:val="0"/>
        <w:autoSpaceDN w:val="0"/>
        <w:adjustRightInd w:val="0"/>
        <w:spacing w:line="560" w:lineRule="exact"/>
        <w:ind w:firstLine="640" w:firstLineChars="200"/>
        <w:jc w:val="left"/>
        <w:rPr>
          <w:rFonts w:ascii="仿宋_GB2312" w:eastAsia="仿宋_GB2312"/>
          <w:bCs/>
          <w:color w:val="000000"/>
          <w:sz w:val="32"/>
          <w:szCs w:val="32"/>
        </w:rPr>
      </w:pPr>
      <w:r>
        <w:rPr>
          <w:rFonts w:hint="eastAsia" w:ascii="仿宋_GB2312" w:eastAsia="仿宋_GB2312" w:cs="仿宋_GB2312"/>
          <w:kern w:val="0"/>
          <w:sz w:val="32"/>
          <w:szCs w:val="32"/>
        </w:rPr>
        <w:t>（一）</w:t>
      </w:r>
      <w:r>
        <w:rPr>
          <w:rFonts w:hint="eastAsia" w:ascii="仿宋_GB2312" w:eastAsia="仿宋_GB2312" w:cs="仿宋_GB2312"/>
          <w:sz w:val="32"/>
          <w:szCs w:val="32"/>
        </w:rPr>
        <w:t>2020年</w:t>
      </w:r>
      <w:r>
        <w:rPr>
          <w:rFonts w:hint="eastAsia" w:ascii="仿宋_GB2312" w:eastAsia="仿宋_GB2312" w:cs="仿宋_GB2312"/>
          <w:kern w:val="0"/>
          <w:sz w:val="32"/>
          <w:szCs w:val="32"/>
        </w:rPr>
        <w:t>因公出国（境）费支出0万元，2020年</w:t>
      </w:r>
      <w:r>
        <w:rPr>
          <w:rFonts w:hint="eastAsia" w:ascii="仿宋_GB2312" w:eastAsia="仿宋_GB2312" w:cs="仿宋_GB2312"/>
          <w:sz w:val="32"/>
          <w:szCs w:val="32"/>
        </w:rPr>
        <w:t>因公出国（境）团组数为0组，出国（境）人数为0人</w:t>
      </w:r>
      <w:r>
        <w:rPr>
          <w:rFonts w:hint="eastAsia" w:ascii="仿宋_GB2312" w:eastAsia="仿宋_GB2312" w:cs="仿宋_GB2312"/>
          <w:kern w:val="0"/>
          <w:sz w:val="32"/>
          <w:szCs w:val="32"/>
        </w:rPr>
        <w:t>，</w:t>
      </w:r>
      <w:r>
        <w:rPr>
          <w:rFonts w:hint="eastAsia" w:ascii="仿宋_GB2312" w:eastAsia="仿宋_GB2312" w:cs="仿宋_GB2312"/>
          <w:sz w:val="32"/>
          <w:szCs w:val="32"/>
        </w:rPr>
        <w:t>与2019年度相比较上下年无变化，主要原因：我单位没有因公出国（境）业务项目开展及年初无</w:t>
      </w:r>
      <w:r>
        <w:rPr>
          <w:rFonts w:hint="eastAsia" w:ascii="仿宋_GB2312" w:eastAsia="仿宋_GB2312" w:cs="仿宋_GB2312"/>
          <w:kern w:val="0"/>
          <w:sz w:val="32"/>
          <w:szCs w:val="32"/>
        </w:rPr>
        <w:t>因公出国（境）费支出</w:t>
      </w:r>
      <w:r>
        <w:rPr>
          <w:rFonts w:hint="eastAsia" w:ascii="仿宋_GB2312" w:eastAsia="仿宋_GB2312" w:cs="仿宋_GB2312"/>
          <w:sz w:val="32"/>
          <w:szCs w:val="32"/>
        </w:rPr>
        <w:t>预算</w:t>
      </w:r>
      <w:r>
        <w:rPr>
          <w:rFonts w:hint="eastAsia" w:ascii="仿宋_GB2312" w:eastAsia="仿宋_GB2312" w:cs="仿宋_GB2312"/>
          <w:kern w:val="0"/>
          <w:sz w:val="32"/>
          <w:szCs w:val="32"/>
        </w:rPr>
        <w:t>。</w:t>
      </w:r>
    </w:p>
    <w:p>
      <w:pPr>
        <w:autoSpaceDE w:val="0"/>
        <w:autoSpaceDN w:val="0"/>
        <w:adjustRightInd w:val="0"/>
        <w:spacing w:line="560" w:lineRule="exact"/>
        <w:ind w:firstLine="640" w:firstLineChars="200"/>
        <w:jc w:val="left"/>
        <w:rPr>
          <w:rFonts w:ascii="仿宋_GB2312" w:eastAsia="仿宋_GB2312"/>
          <w:bCs/>
          <w:color w:val="000000"/>
          <w:sz w:val="32"/>
          <w:szCs w:val="32"/>
        </w:rPr>
      </w:pPr>
      <w:r>
        <w:rPr>
          <w:rFonts w:hint="eastAsia" w:ascii="仿宋_GB2312" w:eastAsia="仿宋_GB2312" w:cs="仿宋_GB2312"/>
          <w:kern w:val="0"/>
          <w:sz w:val="32"/>
          <w:szCs w:val="32"/>
        </w:rPr>
        <w:t>（二）公务用车购置及运行费支出0万元。其中：公务用车购置支出0万元，</w:t>
      </w:r>
      <w:r>
        <w:rPr>
          <w:rFonts w:hint="eastAsia" w:ascii="仿宋_GB2312" w:eastAsia="仿宋_GB2312"/>
          <w:bCs/>
          <w:color w:val="000000"/>
          <w:sz w:val="32"/>
          <w:szCs w:val="32"/>
        </w:rPr>
        <w:t>公务用车保有量为0辆，全年公务用车运行费支出为0万元，年初无公务用车经费预算拨款，无预算执行率可比较。原因：因为公务用车改革后我单位不再持有公务用车，年度内也没有安排公务用车经费预算拨款。</w:t>
      </w:r>
    </w:p>
    <w:p>
      <w:pPr>
        <w:ind w:firstLine="800" w:firstLineChars="250"/>
        <w:jc w:val="left"/>
        <w:rPr>
          <w:rFonts w:ascii="仿宋_GB2312" w:hAnsi="仿宋" w:eastAsia="仿宋_GB2312"/>
          <w:sz w:val="32"/>
          <w:szCs w:val="32"/>
        </w:rPr>
      </w:pPr>
      <w:r>
        <w:rPr>
          <w:rFonts w:hint="eastAsia" w:ascii="仿宋_GB2312" w:eastAsia="仿宋_GB2312" w:cs="仿宋_GB2312"/>
          <w:kern w:val="0"/>
          <w:sz w:val="32"/>
          <w:szCs w:val="32"/>
        </w:rPr>
        <w:t>（三）2020年全年公务接待费支出为0.07万元，国内公务接待批次为1次，国内公务接待人数为4人，公务接待费用较上年</w:t>
      </w:r>
      <w:r>
        <w:rPr>
          <w:rFonts w:hint="eastAsia" w:ascii="仿宋_GB2312" w:hAnsi="仿宋" w:eastAsia="仿宋_GB2312"/>
          <w:sz w:val="32"/>
          <w:szCs w:val="32"/>
        </w:rPr>
        <w:t>0.42万元减少0.35万元，减少83.33%，“三公”经费年初部门预算1.09万元，三公经费年度预决算执行率为6.42%，年度内公务接待费用减少是由于全国疫情原因，相关业务调研等交流活动减少引起</w:t>
      </w:r>
      <w:r>
        <w:rPr>
          <w:rFonts w:hint="eastAsia" w:ascii="仿宋_GB2312" w:eastAsia="仿宋_GB2312" w:cs="仿宋_GB2312"/>
          <w:kern w:val="0"/>
          <w:sz w:val="32"/>
          <w:szCs w:val="32"/>
        </w:rPr>
        <w:t>。</w:t>
      </w:r>
    </w:p>
    <w:p>
      <w:pPr>
        <w:spacing w:line="560" w:lineRule="exact"/>
        <w:ind w:firstLine="642" w:firstLineChars="200"/>
        <w:jc w:val="left"/>
        <w:rPr>
          <w:rFonts w:ascii="仿宋_GB2312" w:hAnsi="仿宋" w:eastAsia="仿宋_GB2312"/>
          <w:b/>
          <w:sz w:val="32"/>
          <w:szCs w:val="32"/>
        </w:rPr>
      </w:pPr>
      <w:r>
        <w:rPr>
          <w:rFonts w:hint="eastAsia" w:ascii="仿宋_GB2312" w:hAnsi="仿宋" w:eastAsia="仿宋_GB2312"/>
          <w:b/>
          <w:sz w:val="32"/>
          <w:szCs w:val="32"/>
        </w:rPr>
        <w:t>七、其他重要事项情况说明</w:t>
      </w:r>
    </w:p>
    <w:p>
      <w:pPr>
        <w:autoSpaceDE w:val="0"/>
        <w:autoSpaceDN w:val="0"/>
        <w:adjustRightInd w:val="0"/>
        <w:spacing w:line="560" w:lineRule="exact"/>
        <w:ind w:firstLine="642"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(一)</w:t>
      </w:r>
      <w:r>
        <w:rPr>
          <w:rFonts w:hint="eastAsia" w:ascii="仿宋_GB2312" w:eastAsia="仿宋_GB2312"/>
          <w:b/>
        </w:rPr>
        <w:t xml:space="preserve"> </w:t>
      </w:r>
      <w:r>
        <w:rPr>
          <w:rFonts w:hint="eastAsia" w:ascii="仿宋_GB2312" w:eastAsia="仿宋_GB2312" w:cs="仿宋_GB2312"/>
          <w:b/>
          <w:kern w:val="0"/>
          <w:sz w:val="32"/>
          <w:szCs w:val="32"/>
        </w:rPr>
        <w:t>机关运行经费支出情况说明</w:t>
      </w:r>
    </w:p>
    <w:p>
      <w:pPr>
        <w:autoSpaceDE w:val="0"/>
        <w:autoSpaceDN w:val="0"/>
        <w:adjustRightInd w:val="0"/>
        <w:spacing w:line="560" w:lineRule="exact"/>
        <w:ind w:firstLine="640" w:firstLineChars="200"/>
        <w:jc w:val="left"/>
        <w:rPr>
          <w:rFonts w:ascii="仿宋_GB2312" w:hAnsi="黑体" w:eastAsia="仿宋_GB2312"/>
          <w:sz w:val="32"/>
          <w:szCs w:val="32"/>
        </w:rPr>
      </w:pPr>
      <w:r>
        <w:rPr>
          <w:rFonts w:hint="eastAsia" w:ascii="仿宋_GB2312" w:eastAsia="仿宋_GB2312" w:cs="仿宋_GB2312"/>
          <w:kern w:val="0"/>
          <w:sz w:val="32"/>
          <w:szCs w:val="32"/>
        </w:rPr>
        <w:t>2020年我单位机关运行经费支出为0万元，与2019年度相比较无变化。主要原因是：我单位是公益一类事业单位，没有机关运行经费发生。</w:t>
      </w:r>
    </w:p>
    <w:p>
      <w:pPr>
        <w:spacing w:line="560" w:lineRule="exact"/>
        <w:ind w:firstLine="480" w:firstLineChars="150"/>
        <w:jc w:val="left"/>
        <w:rPr>
          <w:rFonts w:ascii="仿宋_GB2312" w:hAnsi="仿宋" w:eastAsia="仿宋_GB2312"/>
          <w:sz w:val="32"/>
          <w:szCs w:val="32"/>
        </w:rPr>
      </w:pPr>
      <w:r>
        <w:rPr>
          <w:rFonts w:hint="eastAsia" w:ascii="仿宋_GB2312" w:hAnsi="仿宋" w:eastAsia="仿宋_GB2312"/>
          <w:sz w:val="32"/>
          <w:szCs w:val="32"/>
        </w:rPr>
        <w:t>（二）政府采购支出情况说明</w:t>
      </w:r>
    </w:p>
    <w:p>
      <w:pPr>
        <w:spacing w:line="560" w:lineRule="exact"/>
        <w:ind w:firstLine="640" w:firstLineChars="200"/>
        <w:jc w:val="left"/>
        <w:rPr>
          <w:rFonts w:ascii="仿宋_GB2312" w:hAnsi="仿宋" w:eastAsia="仿宋_GB2312"/>
          <w:sz w:val="32"/>
          <w:szCs w:val="32"/>
        </w:rPr>
      </w:pPr>
      <w:r>
        <w:rPr>
          <w:rFonts w:hint="eastAsia" w:ascii="仿宋_GB2312" w:hAnsi="仿宋" w:eastAsia="仿宋_GB2312" w:cs="仿宋_GB2312"/>
          <w:kern w:val="0"/>
          <w:sz w:val="32"/>
          <w:szCs w:val="32"/>
        </w:rPr>
        <w:t>2020年我单位政府采购支出总额3949.29万元，其中政府采购货物支出125.56万元，政府采购服务支出3823.73万元。我单位</w:t>
      </w:r>
      <w:r>
        <w:rPr>
          <w:rFonts w:hint="eastAsia" w:ascii="仿宋_GB2312" w:hAnsi="仿宋" w:eastAsia="仿宋_GB2312"/>
          <w:sz w:val="32"/>
          <w:szCs w:val="32"/>
        </w:rPr>
        <w:t>严格按照政府采购各项要求，认真贯彻落实《政府采购法》和各项规章制度，坚持依法采购，厉行勤俭节约，加强监督管理，积极参加业务培训、圆满完成了全年采购任务。</w:t>
      </w:r>
      <w:r>
        <w:rPr>
          <w:rFonts w:hint="eastAsia" w:ascii="仿宋_GB2312" w:hAnsi="仿宋" w:eastAsia="仿宋_GB2312" w:cs="仿宋_GB2312"/>
          <w:kern w:val="0"/>
          <w:sz w:val="32"/>
          <w:szCs w:val="32"/>
        </w:rPr>
        <w:t>其中：政府采购合同授予情况，2020年采购采购所属性质都是国内企业，按规模划分采购大型企业3949.29万元，占全年年报采购数据的100%。与2019年相比，采购金额减少了1764.69万元，减少了30.88%；其中：政府采购货物增加了656.32万元，政府采购服务减少了1290.96万元综合导致，减少的主要原因是因为</w:t>
      </w:r>
      <w:r>
        <w:rPr>
          <w:rFonts w:hint="eastAsia" w:ascii="仿宋_GB2312" w:hAnsi="仿宋" w:eastAsia="仿宋_GB2312"/>
          <w:sz w:val="32"/>
          <w:szCs w:val="32"/>
        </w:rPr>
        <w:t>2020年度</w:t>
      </w:r>
      <w:r>
        <w:rPr>
          <w:rFonts w:hint="eastAsia" w:ascii="仿宋_GB2312" w:hAnsi="仿宋" w:eastAsia="仿宋_GB2312" w:cs="仿宋_GB2312"/>
          <w:sz w:val="32"/>
          <w:szCs w:val="32"/>
        </w:rPr>
        <w:t>落实政府过紧日子要求，大力压减人社信息化运维服务支出</w:t>
      </w:r>
      <w:r>
        <w:rPr>
          <w:rFonts w:hint="eastAsia" w:ascii="仿宋_GB2312" w:hAnsi="仿宋" w:eastAsia="仿宋_GB2312" w:cs="仿宋_GB2312"/>
          <w:kern w:val="0"/>
          <w:sz w:val="32"/>
          <w:szCs w:val="32"/>
        </w:rPr>
        <w:t>，统一按10%的比例压减项目资金支出导致。</w:t>
      </w:r>
    </w:p>
    <w:p>
      <w:pPr>
        <w:spacing w:line="560" w:lineRule="exact"/>
        <w:jc w:val="left"/>
        <w:rPr>
          <w:rFonts w:ascii="仿宋_GB2312" w:hAnsi="仿宋" w:eastAsia="仿宋_GB2312"/>
          <w:sz w:val="32"/>
          <w:szCs w:val="32"/>
        </w:rPr>
      </w:pPr>
      <w:r>
        <w:rPr>
          <w:rFonts w:hint="eastAsia" w:ascii="仿宋_GB2312" w:hAnsi="仿宋" w:eastAsia="仿宋_GB2312"/>
          <w:b/>
          <w:sz w:val="32"/>
          <w:szCs w:val="32"/>
        </w:rPr>
        <w:t xml:space="preserve">   </w:t>
      </w:r>
      <w:r>
        <w:rPr>
          <w:rFonts w:hint="eastAsia" w:ascii="仿宋_GB2312" w:hAnsi="仿宋" w:eastAsia="仿宋_GB2312"/>
          <w:sz w:val="32"/>
          <w:szCs w:val="32"/>
        </w:rPr>
        <w:t>（三）国有资产占用情况说明</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1.截至2020年12月31日，我单位资产总额3616.20万元,</w:t>
      </w:r>
      <w:r>
        <w:rPr>
          <w:rFonts w:hint="eastAsia" w:ascii="仿宋_GB2312" w:hAnsi="仿宋" w:eastAsia="仿宋_GB2312" w:cs="楷体"/>
          <w:sz w:val="32"/>
          <w:szCs w:val="32"/>
        </w:rPr>
        <w:t xml:space="preserve"> </w:t>
      </w:r>
      <w:r>
        <w:rPr>
          <w:rFonts w:hint="eastAsia" w:ascii="仿宋_GB2312" w:hAnsi="仿宋" w:eastAsia="仿宋_GB2312" w:cs="仿宋_GB2312"/>
          <w:kern w:val="0"/>
          <w:sz w:val="32"/>
          <w:szCs w:val="32"/>
        </w:rPr>
        <w:t>主要由以下几部分构成：</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1）流动资产571.76万元，主要为银行存款、财政应返还额度、其他应收款净额构成，占资产总额15.81%；较2019年减少48.86万元，减少7.87%，减少的原因是因为2020年末列支结转下年的基本支出和项目支出指标减少，年末财政应返还额度相应减少到零，导致资产总额大幅减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（2）固定资产净值1742.77万元，较上年减少29.58%，占资产总额48.19%，主要为通用设备、家具用具等；</w:t>
      </w:r>
      <w:r>
        <w:rPr>
          <w:rFonts w:hint="eastAsia" w:ascii="仿宋_GB2312" w:hAnsi="仿宋" w:eastAsia="仿宋_GB2312" w:cs="仿宋_GB2312"/>
          <w:kern w:val="0"/>
          <w:sz w:val="32"/>
          <w:szCs w:val="32"/>
        </w:rPr>
        <w:fldChar w:fldCharType="begin"/>
      </w:r>
      <w:r>
        <w:rPr>
          <w:rFonts w:hint="eastAsia" w:ascii="仿宋_GB2312" w:hAnsi="仿宋" w:eastAsia="仿宋_GB2312" w:cs="仿宋_GB2312"/>
          <w:kern w:val="0"/>
          <w:sz w:val="32"/>
          <w:szCs w:val="32"/>
        </w:rPr>
        <w:instrText xml:space="preserve"> = 3 \* GB2 </w:instrText>
      </w:r>
      <w:r>
        <w:rPr>
          <w:rFonts w:hint="eastAsia" w:ascii="仿宋_GB2312" w:hAnsi="仿宋" w:eastAsia="仿宋_GB2312" w:cs="仿宋_GB2312"/>
          <w:kern w:val="0"/>
          <w:sz w:val="32"/>
          <w:szCs w:val="32"/>
        </w:rPr>
        <w:fldChar w:fldCharType="separate"/>
      </w:r>
      <w:r>
        <w:rPr>
          <w:rFonts w:hint="eastAsia" w:ascii="仿宋_GB2312" w:hAnsi="仿宋" w:eastAsia="仿宋_GB2312" w:cs="仿宋_GB2312"/>
          <w:kern w:val="0"/>
          <w:sz w:val="32"/>
          <w:szCs w:val="32"/>
        </w:rPr>
        <w:t>⑶</w:t>
      </w:r>
      <w:r>
        <w:rPr>
          <w:rFonts w:hint="eastAsia" w:ascii="仿宋_GB2312" w:hAnsi="仿宋" w:eastAsia="仿宋_GB2312" w:cs="仿宋_GB2312"/>
          <w:kern w:val="0"/>
          <w:sz w:val="32"/>
          <w:szCs w:val="32"/>
        </w:rPr>
        <w:fldChar w:fldCharType="end"/>
      </w:r>
      <w:r>
        <w:rPr>
          <w:rFonts w:hint="eastAsia" w:ascii="仿宋_GB2312" w:hAnsi="仿宋" w:eastAsia="仿宋_GB2312" w:cs="仿宋_GB2312"/>
          <w:kern w:val="0"/>
          <w:sz w:val="32"/>
          <w:szCs w:val="32"/>
        </w:rPr>
        <w:t xml:space="preserve"> 无形资产净值1301.67万元,较上年减少165.14万元，减少11.25% ,占资产总额36%，主要为人社信息化的开发和应用软件等。</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2020年底资产总额较上年同期减少945.93万元，减少20.73%，主要是因为：</w:t>
      </w:r>
      <w:r>
        <w:rPr>
          <w:rFonts w:hint="eastAsia" w:ascii="仿宋_GB2312" w:hAnsi="仿宋" w:eastAsia="仿宋_GB2312" w:cs="仿宋_GB2312"/>
          <w:bCs/>
          <w:kern w:val="0"/>
          <w:sz w:val="32"/>
          <w:szCs w:val="32"/>
        </w:rPr>
        <w:t>一是</w:t>
      </w:r>
      <w:r>
        <w:rPr>
          <w:rFonts w:hint="eastAsia" w:ascii="仿宋_GB2312" w:hAnsi="仿宋" w:eastAsia="仿宋_GB2312" w:cs="仿宋_GB2312"/>
          <w:kern w:val="0"/>
          <w:sz w:val="32"/>
          <w:szCs w:val="32"/>
        </w:rPr>
        <w:t>单位年末列支结转下年的基本支出和项目支出指标减少，年末财政应返还额度相应减少，导致流动资产减少；</w:t>
      </w:r>
      <w:r>
        <w:rPr>
          <w:rFonts w:hint="eastAsia" w:ascii="仿宋_GB2312" w:hAnsi="仿宋" w:eastAsia="仿宋_GB2312" w:cs="仿宋_GB2312"/>
          <w:bCs/>
          <w:kern w:val="0"/>
          <w:sz w:val="32"/>
          <w:szCs w:val="32"/>
        </w:rPr>
        <w:t>二是在2020年报废处置了一批使用寿命到期的固定资产导致非流动资产大幅减少</w:t>
      </w:r>
      <w:r>
        <w:rPr>
          <w:rFonts w:hint="eastAsia" w:ascii="仿宋_GB2312" w:hAnsi="仿宋" w:eastAsia="仿宋_GB2312" w:cs="仿宋_GB2312"/>
          <w:kern w:val="0"/>
          <w:sz w:val="32"/>
          <w:szCs w:val="32"/>
        </w:rPr>
        <w:t>等。经认真统计、对比，我单位填报的2020年度部门决算报表数据与资产情况报表数据相符，资产状况良好。</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2.我单位无车辆。</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3.我单位无土地产权和办公用房。</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p>
    <w:p>
      <w:pPr>
        <w:autoSpaceDE w:val="0"/>
        <w:autoSpaceDN w:val="0"/>
        <w:adjustRightInd w:val="0"/>
        <w:spacing w:line="560" w:lineRule="exact"/>
        <w:ind w:firstLine="642"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（四）预算绩效管理工作开展情况</w:t>
      </w:r>
    </w:p>
    <w:p>
      <w:pPr>
        <w:autoSpaceDE w:val="0"/>
        <w:autoSpaceDN w:val="0"/>
        <w:adjustRightInd w:val="0"/>
        <w:spacing w:line="560" w:lineRule="exact"/>
        <w:ind w:firstLine="640" w:firstLineChars="200"/>
        <w:jc w:val="left"/>
        <w:rPr>
          <w:rFonts w:ascii="仿宋_GB2312" w:eastAsia="仿宋_GB2312" w:cs="仿宋_GB2312"/>
          <w:b/>
          <w:kern w:val="0"/>
          <w:sz w:val="32"/>
          <w:szCs w:val="32"/>
        </w:rPr>
      </w:pPr>
      <w:r>
        <w:rPr>
          <w:rFonts w:hint="eastAsia" w:ascii="仿宋_GB2312" w:eastAsia="仿宋_GB2312" w:cs="仿宋_GB2312"/>
          <w:bCs/>
          <w:sz w:val="32"/>
          <w:szCs w:val="32"/>
        </w:rPr>
        <w:t>1.目前开展的2020年绩效自评和再评价工作，我单位共组织对1个项目6个子系统进行了绩效自评，涉及项目的预算金额799.62万元，占年初预算资金的18.36%以上，</w:t>
      </w:r>
      <w:r>
        <w:rPr>
          <w:rFonts w:hint="eastAsia" w:ascii="仿宋_GB2312" w:eastAsia="仿宋_GB2312"/>
          <w:sz w:val="32"/>
          <w:szCs w:val="32"/>
        </w:rPr>
        <w:t>2020年，项目正式批复、支出总资金</w:t>
      </w:r>
      <w:r>
        <w:rPr>
          <w:rFonts w:hint="eastAsia" w:ascii="仿宋_GB2312" w:eastAsia="仿宋_GB2312" w:cs="仿宋_GB2312"/>
          <w:sz w:val="32"/>
          <w:szCs w:val="32"/>
          <w:lang w:val="zh-CN"/>
        </w:rPr>
        <w:t>799.62万元，执行率约为100%，</w:t>
      </w:r>
      <w:r>
        <w:rPr>
          <w:rFonts w:hint="eastAsia" w:ascii="仿宋_GB2312" w:eastAsia="仿宋_GB2312" w:cs="仿宋_GB2312"/>
          <w:bCs/>
          <w:sz w:val="32"/>
          <w:szCs w:val="32"/>
        </w:rPr>
        <w:t>涵盖我单位的</w:t>
      </w:r>
      <w:r>
        <w:rPr>
          <w:rFonts w:hint="eastAsia" w:ascii="仿宋_GB2312" w:hAnsi="黑体" w:eastAsia="仿宋_GB2312" w:cs="黑体"/>
          <w:bCs/>
          <w:sz w:val="32"/>
          <w:szCs w:val="32"/>
        </w:rPr>
        <w:t>数字人社信息系统开发</w:t>
      </w:r>
      <w:r>
        <w:rPr>
          <w:rFonts w:hint="eastAsia" w:ascii="仿宋_GB2312" w:eastAsia="仿宋_GB2312" w:cs="仿宋_GB2312"/>
          <w:bCs/>
          <w:sz w:val="32"/>
          <w:szCs w:val="32"/>
        </w:rPr>
        <w:t>领域，自评情况较好；整体支出评价情况也较好.</w:t>
      </w:r>
    </w:p>
    <w:p>
      <w:pPr>
        <w:spacing w:line="600" w:lineRule="exact"/>
        <w:ind w:firstLine="640" w:firstLineChars="200"/>
        <w:rPr>
          <w:rFonts w:ascii="仿宋_GB2312" w:hAnsi="黑体" w:eastAsia="仿宋_GB2312" w:cs="黑体"/>
          <w:bCs/>
          <w:sz w:val="32"/>
          <w:szCs w:val="32"/>
        </w:rPr>
      </w:pPr>
      <w:r>
        <w:rPr>
          <w:rFonts w:hint="eastAsia" w:ascii="仿宋_GB2312" w:eastAsia="仿宋_GB2312" w:cs="仿宋_GB2312"/>
          <w:bCs/>
          <w:sz w:val="32"/>
          <w:szCs w:val="32"/>
        </w:rPr>
        <w:t>通过自评情况，我单位项目整体支出按照预算计划开展，</w:t>
      </w:r>
      <w:r>
        <w:rPr>
          <w:rFonts w:hint="eastAsia" w:ascii="仿宋_GB2312" w:hAnsi="黑体" w:eastAsia="仿宋_GB2312" w:cs="黑体"/>
          <w:bCs/>
          <w:sz w:val="32"/>
          <w:szCs w:val="32"/>
        </w:rPr>
        <w:t>2020年数字人社信息系统开发服务费使用情况良好，费用支出符合国家和自治区有关文件规定，资金促进全区信息化成效较为显著，全面完成全区2020年绩效目标。</w:t>
      </w:r>
    </w:p>
    <w:p>
      <w:pPr>
        <w:spacing w:line="600" w:lineRule="exact"/>
        <w:ind w:firstLine="642" w:firstLineChars="200"/>
        <w:rPr>
          <w:rFonts w:ascii="仿宋_GB2312" w:eastAsia="仿宋_GB2312"/>
          <w:b/>
          <w:sz w:val="32"/>
          <w:szCs w:val="32"/>
        </w:rPr>
      </w:pPr>
      <w:r>
        <w:rPr>
          <w:rFonts w:hint="eastAsia" w:ascii="仿宋_GB2312" w:eastAsia="仿宋_GB2312"/>
          <w:b/>
          <w:sz w:val="32"/>
          <w:szCs w:val="32"/>
        </w:rPr>
        <w:t>2.产出指标完成情况分析</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（1）信息系统项目完成开发数量指标完成情况。整个项目6个子系统全部完成开发，完成率100%。</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（2）质量指标完成情况。整个项目6个子系统全部完成验收，完成率100%。</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（3）时效指标完成情况。全区系统在规定时间内完成上线。</w:t>
      </w:r>
    </w:p>
    <w:p>
      <w:pPr>
        <w:spacing w:line="600" w:lineRule="exact"/>
        <w:ind w:firstLine="642" w:firstLineChars="200"/>
        <w:rPr>
          <w:rFonts w:ascii="仿宋_GB2312" w:eastAsia="仿宋_GB2312"/>
          <w:b/>
          <w:sz w:val="32"/>
          <w:szCs w:val="32"/>
        </w:rPr>
      </w:pPr>
      <w:r>
        <w:rPr>
          <w:rFonts w:hint="eastAsia" w:ascii="仿宋_GB2312" w:eastAsia="仿宋_GB2312"/>
          <w:b/>
          <w:sz w:val="32"/>
          <w:szCs w:val="32"/>
        </w:rPr>
        <w:t>3.效益指标完成情况分析</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社会效益指标完成情况。全区人社实现系统应用和安全服务设计目标，系统应用和安全服务能力长期受益，为各地人社信息化服务提供便利，业务经办人员满意度达90%以上，充分发挥了信息化支撑人社各方面业务的重要作用。</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p>
    <w:p>
      <w:pPr>
        <w:autoSpaceDE w:val="0"/>
        <w:autoSpaceDN w:val="0"/>
        <w:adjustRightInd w:val="0"/>
        <w:spacing w:line="560" w:lineRule="exact"/>
        <w:ind w:firstLine="640" w:firstLineChars="200"/>
        <w:jc w:val="center"/>
        <w:rPr>
          <w:rFonts w:ascii="黑体" w:hAnsi="黑体" w:eastAsia="黑体" w:cs="仿宋_GB2312"/>
          <w:kern w:val="0"/>
          <w:sz w:val="32"/>
          <w:szCs w:val="32"/>
        </w:rPr>
      </w:pPr>
      <w:r>
        <w:rPr>
          <w:rFonts w:hint="eastAsia" w:ascii="黑体" w:hAnsi="黑体" w:eastAsia="黑体" w:cs="仿宋_GB2312"/>
          <w:kern w:val="0"/>
          <w:sz w:val="32"/>
          <w:szCs w:val="32"/>
        </w:rPr>
        <w:t>第四部分  名词解释</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一、财政拨款收入：指自治区财政部门当年拨付的资金。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二、事业收入：指事业单位开展专业业务活动及辅助活动所取得的收入。</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三、经营收入：指事业单位在专业业务活动及其辅助活动之外开展非独立核算经营活动取得的收入。</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四、其他收入：指除上述“财政拨款收入”、“事业收入”、“经营收入”等以外的收入。</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五、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六、年初结转和结余：指以前年度尚未完成、结转到本年 按有关规定继续使用的资金。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七、结余分配：指事业单位按规定提取的职工福利基金、事业基金和缴纳的所得税，以及建设单位按规定应交回的基本建设竣工项目结余资金。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八、年末结转和结余：指本年度或以前年度预算安排、因客观条件发生变化无法按原计划实施，需要延迟到以后年度按有关规定继续使用的资金。</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九、基本支出：指为保障机构正常运转、完成日常工作任务而发生的人员支出和公用支出。</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十、项目支出：指在基本支出之外为完成特定行政任务和事业发展目标所发生的支出。</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十一、经营支出：指事业单位在专业业务活动及其辅助活动之外开展非独立核算经营活动发生的支出。</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autoSpaceDE w:val="0"/>
        <w:autoSpaceDN w:val="0"/>
        <w:adjustRightInd w:val="0"/>
        <w:spacing w:line="560" w:lineRule="exact"/>
        <w:ind w:firstLine="640" w:firstLineChars="200"/>
        <w:jc w:val="left"/>
        <w:rPr>
          <w:rFonts w:ascii="仿宋_GB2312" w:hAnsi="仿宋" w:eastAsia="仿宋_GB2312" w:cs="仿宋_GB2312"/>
          <w:kern w:val="0"/>
          <w:sz w:val="32"/>
          <w:szCs w:val="32"/>
        </w:rPr>
      </w:pPr>
      <w:r>
        <w:rPr>
          <w:rFonts w:hint="eastAsia" w:ascii="仿宋_GB2312" w:hAnsi="仿宋" w:eastAsia="仿宋_GB2312" w:cs="仿宋_GB2312"/>
          <w:kern w:val="0"/>
          <w:sz w:val="32"/>
          <w:szCs w:val="32"/>
        </w:rPr>
        <w:t>十三、事业运行经费：为保障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autoSpaceDE w:val="0"/>
        <w:autoSpaceDN w:val="0"/>
        <w:adjustRightInd w:val="0"/>
        <w:spacing w:line="560" w:lineRule="exact"/>
        <w:ind w:firstLine="140" w:firstLineChars="44"/>
        <w:jc w:val="left"/>
        <w:rPr>
          <w:rFonts w:ascii="仿宋_GB2312" w:hAnsi="仿宋" w:eastAsia="仿宋_GB2312" w:cs="宋体"/>
          <w:color w:val="000000"/>
          <w:kern w:val="0"/>
          <w:sz w:val="32"/>
          <w:szCs w:val="32"/>
        </w:rPr>
      </w:pPr>
    </w:p>
    <w:p>
      <w:pPr>
        <w:jc w:val="left"/>
        <w:rPr>
          <w:rFonts w:ascii="仿宋" w:hAnsi="仿宋" w:eastAsia="仿宋" w:cs="宋体"/>
          <w:color w:val="000000"/>
          <w:kern w:val="0"/>
          <w:sz w:val="32"/>
          <w:szCs w:val="32"/>
        </w:rPr>
      </w:pPr>
    </w:p>
    <w:p>
      <w:pPr>
        <w:jc w:val="left"/>
        <w:rPr>
          <w:rFonts w:ascii="仿宋" w:hAnsi="仿宋" w:eastAsia="仿宋" w:cs="宋体"/>
          <w:color w:val="000000"/>
          <w:kern w:val="0"/>
          <w:sz w:val="32"/>
          <w:szCs w:val="32"/>
        </w:rPr>
      </w:pPr>
    </w:p>
    <w:p>
      <w:pPr>
        <w:jc w:val="left"/>
        <w:rPr>
          <w:rFonts w:ascii="仿宋" w:hAnsi="仿宋" w:eastAsia="仿宋" w:cs="宋体"/>
          <w:color w:val="000000"/>
          <w:kern w:val="0"/>
          <w:sz w:val="32"/>
          <w:szCs w:val="32"/>
        </w:rPr>
      </w:pPr>
    </w:p>
    <w:p>
      <w:pPr>
        <w:jc w:val="left"/>
        <w:rPr>
          <w:rFonts w:ascii="仿宋" w:hAnsi="仿宋" w:eastAsia="仿宋"/>
          <w:sz w:val="32"/>
          <w:szCs w:val="32"/>
        </w:rPr>
      </w:pPr>
    </w:p>
    <w:sectPr>
      <w:pgSz w:w="16838" w:h="11906" w:orient="landscape"/>
      <w:pgMar w:top="1531" w:right="1871" w:bottom="1701" w:left="1928" w:header="1191" w:footer="964"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UnicodeMS">
    <w:altName w:val="DejaVu Sans"/>
    <w:panose1 w:val="00000000000000000000"/>
    <w:charset w:val="86"/>
    <w:family w:val="auto"/>
    <w:pitch w:val="default"/>
    <w:sig w:usb0="00000000" w:usb1="00000000" w:usb2="0000001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楷体">
    <w:altName w:val="方正楷体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E70B70A"/>
    <w:multiLevelType w:val="singleLevel"/>
    <w:tmpl w:val="4E70B70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942F15"/>
    <w:rsid w:val="00005FE1"/>
    <w:rsid w:val="00035D7B"/>
    <w:rsid w:val="00064F5F"/>
    <w:rsid w:val="00080767"/>
    <w:rsid w:val="00083DA5"/>
    <w:rsid w:val="000B2289"/>
    <w:rsid w:val="000C3A5E"/>
    <w:rsid w:val="000C45A2"/>
    <w:rsid w:val="000D1341"/>
    <w:rsid w:val="000E69DD"/>
    <w:rsid w:val="00145B14"/>
    <w:rsid w:val="001720F0"/>
    <w:rsid w:val="00185ECB"/>
    <w:rsid w:val="001B7DDD"/>
    <w:rsid w:val="001D4584"/>
    <w:rsid w:val="001F06D0"/>
    <w:rsid w:val="001F4CE2"/>
    <w:rsid w:val="0020765F"/>
    <w:rsid w:val="0021532B"/>
    <w:rsid w:val="00246EC9"/>
    <w:rsid w:val="00252B90"/>
    <w:rsid w:val="00261F7B"/>
    <w:rsid w:val="00262754"/>
    <w:rsid w:val="00262C70"/>
    <w:rsid w:val="002C770C"/>
    <w:rsid w:val="002D7635"/>
    <w:rsid w:val="002F6DAB"/>
    <w:rsid w:val="003035AC"/>
    <w:rsid w:val="00322FED"/>
    <w:rsid w:val="0034627E"/>
    <w:rsid w:val="00347BE5"/>
    <w:rsid w:val="003527E8"/>
    <w:rsid w:val="003A4555"/>
    <w:rsid w:val="003A6317"/>
    <w:rsid w:val="00411C28"/>
    <w:rsid w:val="00446456"/>
    <w:rsid w:val="00457487"/>
    <w:rsid w:val="00491F89"/>
    <w:rsid w:val="0051117A"/>
    <w:rsid w:val="0054451F"/>
    <w:rsid w:val="00583717"/>
    <w:rsid w:val="005878CA"/>
    <w:rsid w:val="00595C97"/>
    <w:rsid w:val="00596651"/>
    <w:rsid w:val="005B296E"/>
    <w:rsid w:val="005E34CF"/>
    <w:rsid w:val="005F00FF"/>
    <w:rsid w:val="0062443F"/>
    <w:rsid w:val="00625CE6"/>
    <w:rsid w:val="006355DC"/>
    <w:rsid w:val="00661008"/>
    <w:rsid w:val="00667A72"/>
    <w:rsid w:val="00674639"/>
    <w:rsid w:val="00691EF7"/>
    <w:rsid w:val="00696E6A"/>
    <w:rsid w:val="006D535A"/>
    <w:rsid w:val="006E1D51"/>
    <w:rsid w:val="006F54E3"/>
    <w:rsid w:val="007119B8"/>
    <w:rsid w:val="00715E1C"/>
    <w:rsid w:val="00730B36"/>
    <w:rsid w:val="00742F87"/>
    <w:rsid w:val="00750DF2"/>
    <w:rsid w:val="0079519A"/>
    <w:rsid w:val="007E3A2C"/>
    <w:rsid w:val="007F144E"/>
    <w:rsid w:val="008044F8"/>
    <w:rsid w:val="00832AB5"/>
    <w:rsid w:val="00837A74"/>
    <w:rsid w:val="008873B2"/>
    <w:rsid w:val="00887F52"/>
    <w:rsid w:val="0089263C"/>
    <w:rsid w:val="008D23FE"/>
    <w:rsid w:val="008E04C5"/>
    <w:rsid w:val="008F3E4B"/>
    <w:rsid w:val="008F585B"/>
    <w:rsid w:val="0094059B"/>
    <w:rsid w:val="00942F15"/>
    <w:rsid w:val="00952BDD"/>
    <w:rsid w:val="0095531B"/>
    <w:rsid w:val="00960AA3"/>
    <w:rsid w:val="00967220"/>
    <w:rsid w:val="009915F3"/>
    <w:rsid w:val="009956F8"/>
    <w:rsid w:val="009A031E"/>
    <w:rsid w:val="009A584C"/>
    <w:rsid w:val="009C10D4"/>
    <w:rsid w:val="009C4FA2"/>
    <w:rsid w:val="009D5696"/>
    <w:rsid w:val="00A0004C"/>
    <w:rsid w:val="00A23D60"/>
    <w:rsid w:val="00A27453"/>
    <w:rsid w:val="00A27F37"/>
    <w:rsid w:val="00A462C1"/>
    <w:rsid w:val="00A64C10"/>
    <w:rsid w:val="00A85A72"/>
    <w:rsid w:val="00A96AAA"/>
    <w:rsid w:val="00AB3C56"/>
    <w:rsid w:val="00AD217C"/>
    <w:rsid w:val="00AD7CFB"/>
    <w:rsid w:val="00AE43F2"/>
    <w:rsid w:val="00B06F0F"/>
    <w:rsid w:val="00B17A4C"/>
    <w:rsid w:val="00B35A54"/>
    <w:rsid w:val="00B40B2C"/>
    <w:rsid w:val="00B531CA"/>
    <w:rsid w:val="00B9482E"/>
    <w:rsid w:val="00BB38DF"/>
    <w:rsid w:val="00BD5796"/>
    <w:rsid w:val="00C00E34"/>
    <w:rsid w:val="00C41FA9"/>
    <w:rsid w:val="00C5183A"/>
    <w:rsid w:val="00C54C82"/>
    <w:rsid w:val="00C634EE"/>
    <w:rsid w:val="00C7771F"/>
    <w:rsid w:val="00CA17C3"/>
    <w:rsid w:val="00CA7575"/>
    <w:rsid w:val="00CB4A03"/>
    <w:rsid w:val="00CC105E"/>
    <w:rsid w:val="00CF1D54"/>
    <w:rsid w:val="00CF6BB7"/>
    <w:rsid w:val="00D232C7"/>
    <w:rsid w:val="00D23D30"/>
    <w:rsid w:val="00D27DC9"/>
    <w:rsid w:val="00D37809"/>
    <w:rsid w:val="00D40795"/>
    <w:rsid w:val="00D504C4"/>
    <w:rsid w:val="00D52B70"/>
    <w:rsid w:val="00D5656A"/>
    <w:rsid w:val="00D82809"/>
    <w:rsid w:val="00D84183"/>
    <w:rsid w:val="00D84A1B"/>
    <w:rsid w:val="00D90E43"/>
    <w:rsid w:val="00E363CC"/>
    <w:rsid w:val="00E44358"/>
    <w:rsid w:val="00E46E94"/>
    <w:rsid w:val="00E5788C"/>
    <w:rsid w:val="00E935D5"/>
    <w:rsid w:val="00EA0E62"/>
    <w:rsid w:val="00EC5101"/>
    <w:rsid w:val="00ED1379"/>
    <w:rsid w:val="00EE039A"/>
    <w:rsid w:val="00EF335A"/>
    <w:rsid w:val="00F0262F"/>
    <w:rsid w:val="00F43AA9"/>
    <w:rsid w:val="00F67C2C"/>
    <w:rsid w:val="00FA0BC1"/>
    <w:rsid w:val="00FB0923"/>
    <w:rsid w:val="00FD308A"/>
    <w:rsid w:val="00FD71C2"/>
    <w:rsid w:val="00FF11D1"/>
    <w:rsid w:val="F52702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31</Pages>
  <Words>2349</Words>
  <Characters>13392</Characters>
  <Lines>111</Lines>
  <Paragraphs>31</Paragraphs>
  <TotalTime>976</TotalTime>
  <ScaleCrop>false</ScaleCrop>
  <LinksUpToDate>false</LinksUpToDate>
  <CharactersWithSpaces>15710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2021-08-26T10:13:00Z</dcterms:created>
  <dc:creator>user</dc:creator>
  <cp:lastModifiedBy>gxxc</cp:lastModifiedBy>
  <dcterms:modified xsi:type="dcterms:W3CDTF">2022-09-08T09:46:30Z</dcterms:modified>
  <cp:revision>91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